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MATRIZ DE ACHADOS</w:t>
      </w:r>
    </w:p>
    <w:p w:rsidR="00000000" w:rsidDel="00000000" w:rsidP="00000000" w:rsidRDefault="00000000" w:rsidRPr="00000000" w14:paraId="00000003">
      <w:pPr>
        <w:spacing w:before="58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535.0" w:type="dxa"/>
        <w:jc w:val="left"/>
        <w:tblInd w:w="-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20"/>
        <w:gridCol w:w="11715"/>
        <w:tblGridChange w:id="0">
          <w:tblGrid>
            <w:gridCol w:w="2820"/>
            <w:gridCol w:w="1171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4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JURISDICIONADA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2.9609374999999" w:hRule="atLeast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6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OBJETO DA FISCALIZAÇÃO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ind w:left="-426" w:firstLine="426"/>
        <w:jc w:val="left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5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35"/>
        <w:gridCol w:w="11715"/>
        <w:tblGridChange w:id="0">
          <w:tblGrid>
            <w:gridCol w:w="2835"/>
            <w:gridCol w:w="11715"/>
          </w:tblGrid>
        </w:tblGridChange>
      </w:tblGrid>
      <w:tr>
        <w:trPr>
          <w:cantSplit w:val="0"/>
          <w:trHeight w:val="947.98046875" w:hRule="atLeast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9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OBJETIVO DA AUDITORIA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spacing w:after="120" w:lineRule="auto"/>
        <w:jc w:val="both"/>
        <w:rPr>
          <w:rFonts w:ascii="Arial" w:cs="Arial" w:eastAsia="Arial" w:hAnsi="Arial"/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5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20"/>
        <w:gridCol w:w="11730"/>
        <w:tblGridChange w:id="0">
          <w:tblGrid>
            <w:gridCol w:w="2820"/>
            <w:gridCol w:w="1173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0C">
            <w:pPr>
              <w:spacing w:after="12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QUESTÃO nº 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spacing w:after="120" w:lineRule="auto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Utilizar uma linha para cada questão de auditoria, dividindo-os e seguido das colunas com os elementos da matriz que estão descritos abaixo.</w:t>
            </w:r>
          </w:p>
        </w:tc>
      </w:tr>
    </w:tbl>
    <w:p w:rsidR="00000000" w:rsidDel="00000000" w:rsidP="00000000" w:rsidRDefault="00000000" w:rsidRPr="00000000" w14:paraId="0000000E">
      <w:pPr>
        <w:spacing w:after="120" w:lineRule="auto"/>
        <w:jc w:val="both"/>
        <w:rPr>
          <w:rFonts w:ascii="Arial" w:cs="Arial" w:eastAsia="Arial" w:hAnsi="Arial"/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58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0"/>
        <w:gridCol w:w="1905"/>
        <w:gridCol w:w="1875"/>
        <w:gridCol w:w="2190"/>
        <w:gridCol w:w="1410"/>
        <w:gridCol w:w="1545"/>
        <w:gridCol w:w="2220"/>
        <w:gridCol w:w="1605"/>
        <w:tblGridChange w:id="0">
          <w:tblGrid>
            <w:gridCol w:w="1830"/>
            <w:gridCol w:w="1905"/>
            <w:gridCol w:w="1875"/>
            <w:gridCol w:w="2190"/>
            <w:gridCol w:w="1410"/>
            <w:gridCol w:w="1545"/>
            <w:gridCol w:w="2220"/>
            <w:gridCol w:w="1605"/>
          </w:tblGrid>
        </w:tblGridChange>
      </w:tblGrid>
      <w:tr>
        <w:trPr>
          <w:cantSplit w:val="0"/>
          <w:trHeight w:val="563" w:hRule="atLeast"/>
          <w:tblHeader w:val="1"/>
        </w:trPr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DESCRIÇÃO DO ACHADO</w:t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SITUAÇÃO ENCONTRADA</w:t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CRITÉRIO</w:t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EVIDÊNCIAS </w:t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CAUSAS</w:t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EFEITOS</w:t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PROPOSTA DE ENCAMINHAMENTO</w:t>
            </w:r>
          </w:p>
        </w:tc>
        <w:tc>
          <w:tcPr>
            <w:shd w:fill="cccccc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BENEFÍCIOS ESPERADOS</w:t>
            </w:r>
          </w:p>
        </w:tc>
      </w:tr>
      <w:tr>
        <w:trPr>
          <w:cantSplit w:val="0"/>
          <w:trHeight w:val="3119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Deve ser preenchido com enunciado do achado, basicamente o título do problema/deficiência. Achado é a discrepância entre a situação encontrada e o critério de auditoria utilizado.</w:t>
            </w:r>
          </w:p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Descrever a situação existente,</w:t>
            </w:r>
          </w:p>
          <w:p w:rsidR="00000000" w:rsidDel="00000000" w:rsidP="00000000" w:rsidRDefault="00000000" w:rsidRPr="00000000" w14:paraId="0000001A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identificada e</w:t>
            </w:r>
          </w:p>
          <w:p w:rsidR="00000000" w:rsidDel="00000000" w:rsidP="00000000" w:rsidRDefault="00000000" w:rsidRPr="00000000" w14:paraId="0000001B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documentada, isso durante</w:t>
            </w:r>
          </w:p>
          <w:p w:rsidR="00000000" w:rsidDel="00000000" w:rsidP="00000000" w:rsidRDefault="00000000" w:rsidRPr="00000000" w14:paraId="0000001C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a fase de execução da</w:t>
            </w:r>
          </w:p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auditoria. </w:t>
            </w:r>
          </w:p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Deve ser indicado o período de ocorrência e de referência dos fatos.</w:t>
            </w:r>
          </w:p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Indicar as referências usadas para avaliar o objeto. Vai depender de uma série de fatores, incluindo os objetivos e o tipo de auditoria (legislação, normas, princípios sólidos, jurisprudências, entendimento doutrinário, padrão adotado, boas práticas)</w:t>
            </w:r>
          </w:p>
          <w:p w:rsidR="00000000" w:rsidDel="00000000" w:rsidP="00000000" w:rsidRDefault="00000000" w:rsidRPr="00000000" w14:paraId="00000021">
            <w:pPr>
              <w:spacing w:line="276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Informações obtidas durante a fiscalização no intuito de documentar os achados e de respaldar as opiniões e conclusões da equipe. É preciso verificar se possui todos os atributos necessários (suficiente - quantidade e apropriada-qualidade)</w:t>
            </w:r>
          </w:p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Deve indicar precisamente os documentos que respaldam a opinião da equipe (registros de transações em papel; meio eletrônico; testemunho oral ou escrito, etc).</w:t>
            </w:r>
          </w:p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Qual?</w:t>
            </w:r>
          </w:p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Que número?</w:t>
            </w:r>
          </w:p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Qual a localização dele no processo?</w:t>
            </w:r>
          </w:p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O que motivou a ocorrência do achado, devendo ser conclusiva. </w:t>
            </w:r>
          </w:p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Deve trazer elementos para a correta responsabilização, quando for o caso.</w:t>
            </w:r>
          </w:p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Devem fornecer elementos indicativos para minimizar a repetição da ocorrência da impropriedade/ irregularidade.</w:t>
            </w:r>
          </w:p>
        </w:tc>
        <w:tc>
          <w:tcPr/>
          <w:p w:rsidR="00000000" w:rsidDel="00000000" w:rsidP="00000000" w:rsidRDefault="00000000" w:rsidRPr="00000000" w14:paraId="0000002D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Consequências</w:t>
            </w:r>
          </w:p>
          <w:p w:rsidR="00000000" w:rsidDel="00000000" w:rsidP="00000000" w:rsidRDefault="00000000" w:rsidRPr="00000000" w14:paraId="0000002E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relacionadas</w:t>
            </w:r>
          </w:p>
          <w:p w:rsidR="00000000" w:rsidDel="00000000" w:rsidP="00000000" w:rsidRDefault="00000000" w:rsidRPr="00000000" w14:paraId="0000002F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às causas dos</w:t>
            </w:r>
          </w:p>
          <w:p w:rsidR="00000000" w:rsidDel="00000000" w:rsidP="00000000" w:rsidRDefault="00000000" w:rsidRPr="00000000" w14:paraId="00000030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correspondentes</w:t>
            </w:r>
          </w:p>
          <w:p w:rsidR="00000000" w:rsidDel="00000000" w:rsidP="00000000" w:rsidRDefault="00000000" w:rsidRPr="00000000" w14:paraId="00000031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achados.</w:t>
            </w:r>
          </w:p>
          <w:p w:rsidR="00000000" w:rsidDel="00000000" w:rsidP="00000000" w:rsidRDefault="00000000" w:rsidRPr="00000000" w14:paraId="00000032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3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Avaliar quais foram ou podem ser as consequências para o órgão/entidade, para o erário ou para a sociedade. </w:t>
            </w:r>
          </w:p>
          <w:p w:rsidR="00000000" w:rsidDel="00000000" w:rsidP="00000000" w:rsidRDefault="00000000" w:rsidRPr="00000000" w14:paraId="00000034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Sempre que for possível deve ser dimensionado.</w:t>
            </w:r>
          </w:p>
        </w:tc>
        <w:tc>
          <w:tcPr/>
          <w:p w:rsidR="00000000" w:rsidDel="00000000" w:rsidP="00000000" w:rsidRDefault="00000000" w:rsidRPr="00000000" w14:paraId="00000036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Propostas da equipe de trabalho. Registrar o encaminhamento para todas as irregularidades/impropriedades. Precisam ser construídas de forma clara e objetiva visando resolver os problemas e/ou deficiências subjacentes.</w:t>
            </w:r>
          </w:p>
          <w:p w:rsidR="00000000" w:rsidDel="00000000" w:rsidP="00000000" w:rsidRDefault="00000000" w:rsidRPr="00000000" w14:paraId="00000037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1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Em caso de irregularidades passíveis de sanção,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elaborar a matriz de responsabilização e representar ao Tribunal se for o caso.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São relacionados ao que se espera alcançar com a implementação das recomendações/determinações, podendo ser quantitativos (quantificar quando for possível) ou qualitativos.</w:t>
            </w:r>
          </w:p>
          <w:p w:rsidR="00000000" w:rsidDel="00000000" w:rsidP="00000000" w:rsidRDefault="00000000" w:rsidRPr="00000000" w14:paraId="0000003B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56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20"/>
        <w:gridCol w:w="12645"/>
        <w:tblGridChange w:id="0">
          <w:tblGrid>
            <w:gridCol w:w="1920"/>
            <w:gridCol w:w="1264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3E">
            <w:pPr>
              <w:spacing w:after="57" w:before="57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COORDENADOR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40">
            <w:pPr>
              <w:spacing w:after="57" w:before="57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EQUIPE:</w:t>
            </w:r>
          </w:p>
          <w:p w:rsidR="00000000" w:rsidDel="00000000" w:rsidP="00000000" w:rsidRDefault="00000000" w:rsidRPr="00000000" w14:paraId="00000041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XXXX</w:t>
            </w:r>
          </w:p>
          <w:p w:rsidR="00000000" w:rsidDel="00000000" w:rsidP="00000000" w:rsidRDefault="00000000" w:rsidRPr="00000000" w14:paraId="00000042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YYYY</w:t>
            </w:r>
          </w:p>
          <w:p w:rsidR="00000000" w:rsidDel="00000000" w:rsidP="00000000" w:rsidRDefault="00000000" w:rsidRPr="00000000" w14:paraId="00000043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ZZZZ</w:t>
            </w:r>
          </w:p>
        </w:tc>
      </w:tr>
    </w:tbl>
    <w:p w:rsidR="00000000" w:rsidDel="00000000" w:rsidP="00000000" w:rsidRDefault="00000000" w:rsidRPr="00000000" w14:paraId="00000045">
      <w:pPr>
        <w:widowControl w:val="1"/>
        <w:rPr>
          <w:rFonts w:ascii="Arial" w:cs="Arial" w:eastAsia="Arial" w:hAnsi="Arial"/>
          <w:b w:val="1"/>
          <w:sz w:val="22"/>
          <w:szCs w:val="22"/>
        </w:rPr>
        <w:sectPr>
          <w:headerReference r:id="rId7" w:type="default"/>
          <w:headerReference r:id="rId8" w:type="first"/>
          <w:headerReference r:id="rId9" w:type="even"/>
          <w:footerReference r:id="rId10" w:type="default"/>
          <w:footerReference r:id="rId11" w:type="first"/>
          <w:footerReference r:id="rId12" w:type="even"/>
          <w:pgSz w:h="11905" w:w="16837" w:orient="landscape"/>
          <w:pgMar w:bottom="1133.8582677165355" w:top="1700.7874015748032" w:left="1133.8582677165355" w:right="1133.8582677165355" w:header="284" w:footer="284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center" w:leader="none" w:pos="4252"/>
          <w:tab w:val="right" w:leader="none" w:pos="8504"/>
        </w:tabs>
        <w:rPr>
          <w:rFonts w:ascii="Arial" w:cs="Arial" w:eastAsia="Arial" w:hAnsi="Arial"/>
          <w:b w:val="1"/>
          <w:color w:val="1c4587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1c4587"/>
          <w:sz w:val="20"/>
          <w:szCs w:val="20"/>
          <w:rtl w:val="0"/>
        </w:rPr>
        <w:t xml:space="preserve">Orientações para preenchimento da Matriz de Achados</w:t>
      </w:r>
    </w:p>
    <w:p w:rsidR="00000000" w:rsidDel="00000000" w:rsidP="00000000" w:rsidRDefault="00000000" w:rsidRPr="00000000" w14:paraId="00000047">
      <w:pPr>
        <w:tabs>
          <w:tab w:val="center" w:leader="none" w:pos="4252"/>
          <w:tab w:val="right" w:leader="none" w:pos="8504"/>
        </w:tabs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40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26"/>
        <w:gridCol w:w="7581"/>
        <w:tblGridChange w:id="0">
          <w:tblGrid>
            <w:gridCol w:w="1826"/>
            <w:gridCol w:w="7581"/>
          </w:tblGrid>
        </w:tblGridChange>
      </w:tblGrid>
      <w:tr>
        <w:trPr>
          <w:cantSplit w:val="0"/>
          <w:trHeight w:val="545" w:hRule="atLeast"/>
          <w:tblHeader w:val="0"/>
        </w:trPr>
        <w:tc>
          <w:tcPr>
            <w:tcBorders>
              <w:top w:color="6d9eeb" w:space="0" w:sz="8" w:val="single"/>
              <w:left w:color="6d9eeb" w:space="0" w:sz="8" w:val="single"/>
              <w:bottom w:color="93c47d" w:space="0" w:sz="12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8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Objetivo do modelo do papel de trabalho</w:t>
            </w:r>
          </w:p>
        </w:tc>
        <w:tc>
          <w:tcPr>
            <w:tcBorders>
              <w:top w:color="6d9eeb" w:space="0" w:sz="8" w:val="single"/>
              <w:left w:color="93c47d" w:space="0" w:sz="8" w:val="single"/>
              <w:bottom w:color="93c47d" w:space="0" w:sz="12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9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objetivo deste trabalho é possibilitar que os auditores registrem os achados. A Matriz de Achados deve ser preenchida durante a fase de execução da auditoria, à medida que os achados vão sendo constatados; os esclarecimentos dos responsáveis acerca das causas dos achados, bem como da adequação dos critérios. Devem ser colhidos ainda em campo, evitando-se mal entendidos que possam redundar em desperdício de esforços com a realização de audiências equivocadas.</w:t>
            </w:r>
          </w:p>
        </w:tc>
      </w:tr>
      <w:tr>
        <w:trPr>
          <w:cantSplit w:val="0"/>
          <w:trHeight w:val="362" w:hRule="atLeast"/>
          <w:tblHeader w:val="0"/>
        </w:trPr>
        <w:tc>
          <w:tcPr>
            <w:tcBorders>
              <w:top w:color="93c47d" w:space="0" w:sz="12" w:val="single"/>
              <w:left w:color="6d9eeb" w:space="0" w:sz="8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A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Requisitos e Princípios NBASP</w:t>
            </w:r>
          </w:p>
        </w:tc>
        <w:tc>
          <w:tcPr>
            <w:tcBorders>
              <w:top w:color="93c47d" w:space="0" w:sz="12" w:val="single"/>
              <w:left w:color="93c47d" w:space="0" w:sz="8" w:val="single"/>
              <w:bottom w:color="93c47d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4B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Nível 1 – Institucional dos Tribunais de Contas: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10/31 – TC tem a liberdade de deliberar sobre recomendações e determinações (proposta de encaminhamento)</w:t>
            </w:r>
          </w:p>
          <w:p w:rsidR="00000000" w:rsidDel="00000000" w:rsidP="00000000" w:rsidRDefault="00000000" w:rsidRPr="00000000" w14:paraId="0000004D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12/8 – TC exerce ação independente por meio de recomendações e determinações (proposta de encaminhamento);</w:t>
            </w:r>
          </w:p>
          <w:p w:rsidR="00000000" w:rsidDel="00000000" w:rsidP="00000000" w:rsidRDefault="00000000" w:rsidRPr="00000000" w14:paraId="0000004E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20/18 – recomendações e determinações estão sujeitas a resposta da entidade auditada (proposta de encaminhamento);</w:t>
            </w:r>
          </w:p>
          <w:p w:rsidR="00000000" w:rsidDel="00000000" w:rsidP="00000000" w:rsidRDefault="00000000" w:rsidRPr="00000000" w14:paraId="0000004F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Nível 2 – Princípios Fundamentais de Auditoria do Setor Público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100/22 – recomendações para aperfeiçoamento em operacionais (proposta de encaminhamento);</w:t>
            </w:r>
          </w:p>
          <w:p w:rsidR="00000000" w:rsidDel="00000000" w:rsidP="00000000" w:rsidRDefault="00000000" w:rsidRPr="00000000" w14:paraId="00000052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100/27 – completude, confiabilidade e objetividade (critérios);</w:t>
            </w:r>
          </w:p>
          <w:p w:rsidR="00000000" w:rsidDel="00000000" w:rsidP="00000000" w:rsidRDefault="00000000" w:rsidRPr="00000000" w14:paraId="00000053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100/32 - nível de asseguração – a construção do achado interfere no nível de asseguração (descrição do achado);</w:t>
            </w:r>
          </w:p>
          <w:p w:rsidR="00000000" w:rsidDel="00000000" w:rsidP="00000000" w:rsidRDefault="00000000" w:rsidRPr="00000000" w14:paraId="00000054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100/46 – avaliação de risco pode ser revisitada em resposta aos achados (descrição do achado)</w:t>
            </w:r>
          </w:p>
          <w:p w:rsidR="00000000" w:rsidDel="00000000" w:rsidP="00000000" w:rsidRDefault="00000000" w:rsidRPr="00000000" w14:paraId="00000055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100/49 e 50 – discussão dos achados preliminares com a entidade auditada (evidências);</w:t>
            </w:r>
          </w:p>
          <w:p w:rsidR="00000000" w:rsidDel="00000000" w:rsidP="00000000" w:rsidRDefault="00000000" w:rsidRPr="00000000" w14:paraId="00000056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NBASP 100/51- Relatório – achados colocados em perspectiva (descrição do achado)</w:t>
            </w:r>
          </w:p>
          <w:p w:rsidR="00000000" w:rsidDel="00000000" w:rsidP="00000000" w:rsidRDefault="00000000" w:rsidRPr="00000000" w14:paraId="00000057">
            <w:pPr>
              <w:spacing w:line="276" w:lineRule="auto"/>
              <w:jc w:val="both"/>
              <w:rPr>
                <w:rFonts w:ascii="Arial" w:cs="Arial" w:eastAsia="Arial" w:hAnsi="Arial"/>
                <w:strike w:val="1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trike w:val="1"/>
                <w:color w:val="ff0000"/>
                <w:sz w:val="16"/>
                <w:szCs w:val="16"/>
                <w:rtl w:val="0"/>
              </w:rPr>
              <w:t xml:space="preserve">NBASP 400/30; 51 – critérios interferem nos achados de auditoria (critério e descrição do achado);</w:t>
            </w:r>
          </w:p>
          <w:p w:rsidR="00000000" w:rsidDel="00000000" w:rsidP="00000000" w:rsidRDefault="00000000" w:rsidRPr="00000000" w14:paraId="00000058">
            <w:pPr>
              <w:spacing w:line="276" w:lineRule="auto"/>
              <w:jc w:val="both"/>
              <w:rPr>
                <w:rFonts w:ascii="Arial" w:cs="Arial" w:eastAsia="Arial" w:hAnsi="Arial"/>
                <w:strike w:val="1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trike w:val="1"/>
                <w:color w:val="ff0000"/>
                <w:sz w:val="16"/>
                <w:szCs w:val="16"/>
                <w:rtl w:val="0"/>
              </w:rPr>
              <w:t xml:space="preserve">NBASP 400/59 – relatório – achado como elemento (descrição do achado).</w:t>
            </w:r>
          </w:p>
          <w:p w:rsidR="00000000" w:rsidDel="00000000" w:rsidP="00000000" w:rsidRDefault="00000000" w:rsidRPr="00000000" w14:paraId="00000059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Nível 3 – Requisitos Mandatórios para Auditorias no Setor Público</w:t>
            </w:r>
          </w:p>
          <w:p w:rsidR="00000000" w:rsidDel="00000000" w:rsidP="00000000" w:rsidRDefault="00000000" w:rsidRPr="00000000" w14:paraId="0000005B">
            <w:pPr>
              <w:spacing w:line="276" w:lineRule="auto"/>
              <w:jc w:val="both"/>
              <w:rPr>
                <w:rFonts w:ascii="Arial" w:cs="Arial" w:eastAsia="Arial" w:hAnsi="Arial"/>
                <w:strike w:val="1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trike w:val="1"/>
                <w:color w:val="ff0000"/>
                <w:sz w:val="16"/>
                <w:szCs w:val="16"/>
                <w:rtl w:val="0"/>
              </w:rPr>
              <w:t xml:space="preserve">NBASP 4000/48 - achados imparciais (descrição do achado)</w:t>
            </w:r>
          </w:p>
          <w:p w:rsidR="00000000" w:rsidDel="00000000" w:rsidP="00000000" w:rsidRDefault="00000000" w:rsidRPr="00000000" w14:paraId="0000005C">
            <w:pPr>
              <w:spacing w:line="276" w:lineRule="auto"/>
              <w:jc w:val="both"/>
              <w:rPr>
                <w:rFonts w:ascii="Arial" w:cs="Arial" w:eastAsia="Arial" w:hAnsi="Arial"/>
                <w:strike w:val="1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trike w:val="1"/>
                <w:color w:val="ff0000"/>
                <w:sz w:val="16"/>
                <w:szCs w:val="16"/>
                <w:rtl w:val="0"/>
              </w:rPr>
              <w:t xml:space="preserve">NBASP 4000/89 – 91 - documentação precisa ser suficiente para dar suporte ao relatório de auditoria (todos elementos);</w:t>
            </w:r>
          </w:p>
          <w:p w:rsidR="00000000" w:rsidDel="00000000" w:rsidP="00000000" w:rsidRDefault="00000000" w:rsidRPr="00000000" w14:paraId="0000005D">
            <w:pPr>
              <w:spacing w:line="276" w:lineRule="auto"/>
              <w:jc w:val="both"/>
              <w:rPr>
                <w:rFonts w:ascii="Arial" w:cs="Arial" w:eastAsia="Arial" w:hAnsi="Arial"/>
                <w:strike w:val="1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trike w:val="1"/>
                <w:color w:val="ff0000"/>
                <w:sz w:val="16"/>
                <w:szCs w:val="16"/>
                <w:rtl w:val="0"/>
              </w:rPr>
              <w:t xml:space="preserve">NBASP 4000/144-152– trata da própria evidência para suportar o achado (evidências)</w:t>
            </w:r>
          </w:p>
          <w:p w:rsidR="00000000" w:rsidDel="00000000" w:rsidP="00000000" w:rsidRDefault="00000000" w:rsidRPr="00000000" w14:paraId="0000005E">
            <w:pPr>
              <w:spacing w:line="276" w:lineRule="auto"/>
              <w:jc w:val="both"/>
              <w:rPr>
                <w:rFonts w:ascii="Arial" w:cs="Arial" w:eastAsia="Arial" w:hAnsi="Arial"/>
                <w:strike w:val="1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trike w:val="1"/>
                <w:color w:val="ff0000"/>
                <w:sz w:val="16"/>
                <w:szCs w:val="16"/>
                <w:rtl w:val="0"/>
              </w:rPr>
              <w:t xml:space="preserve">NBASP 4000/179 e 182 – evidências para desenvolver achados (evidências e descrição do achado)</w:t>
            </w:r>
          </w:p>
          <w:p w:rsidR="00000000" w:rsidDel="00000000" w:rsidP="00000000" w:rsidRDefault="00000000" w:rsidRPr="00000000" w14:paraId="0000005F">
            <w:pPr>
              <w:spacing w:line="276" w:lineRule="auto"/>
              <w:jc w:val="both"/>
              <w:rPr>
                <w:rFonts w:ascii="Arial" w:cs="Arial" w:eastAsia="Arial" w:hAnsi="Arial"/>
                <w:strike w:val="1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trike w:val="1"/>
                <w:color w:val="ff0000"/>
                <w:sz w:val="16"/>
                <w:szCs w:val="16"/>
                <w:rtl w:val="0"/>
              </w:rPr>
              <w:t xml:space="preserve">NBASP 4000/184-185 – achados e materialidade para concluir se o objeto está em conformidade com os critérios aplicáveis (descrição do achado);</w:t>
            </w:r>
          </w:p>
          <w:p w:rsidR="00000000" w:rsidDel="00000000" w:rsidP="00000000" w:rsidRDefault="00000000" w:rsidRPr="00000000" w14:paraId="00000060">
            <w:pPr>
              <w:spacing w:line="276" w:lineRule="auto"/>
              <w:jc w:val="both"/>
              <w:rPr>
                <w:rFonts w:ascii="Arial" w:cs="Arial" w:eastAsia="Arial" w:hAnsi="Arial"/>
                <w:strike w:val="1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trike w:val="1"/>
                <w:color w:val="ff0000"/>
                <w:sz w:val="16"/>
                <w:szCs w:val="16"/>
                <w:rtl w:val="0"/>
              </w:rPr>
              <w:t xml:space="preserve">NBASP 4000/189 – nível de asseguração – a construção do achado interfere no nível de asseguração (descrição do achado);</w:t>
            </w:r>
          </w:p>
          <w:p w:rsidR="00000000" w:rsidDel="00000000" w:rsidP="00000000" w:rsidRDefault="00000000" w:rsidRPr="00000000" w14:paraId="00000061">
            <w:pPr>
              <w:spacing w:line="276" w:lineRule="auto"/>
              <w:jc w:val="both"/>
              <w:rPr>
                <w:rFonts w:ascii="Arial" w:cs="Arial" w:eastAsia="Arial" w:hAnsi="Arial"/>
                <w:strike w:val="1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trike w:val="1"/>
                <w:color w:val="ff0000"/>
                <w:sz w:val="16"/>
                <w:szCs w:val="16"/>
                <w:rtl w:val="0"/>
              </w:rPr>
              <w:t xml:space="preserve">NBASP 4000/204-205 e 210 - achado que segue os princípios da completude e objetividade e como elemento essencial do relatório (descrição do achado);</w:t>
            </w:r>
          </w:p>
          <w:p w:rsidR="00000000" w:rsidDel="00000000" w:rsidP="00000000" w:rsidRDefault="00000000" w:rsidRPr="00000000" w14:paraId="00000062">
            <w:pPr>
              <w:spacing w:line="276" w:lineRule="auto"/>
              <w:jc w:val="both"/>
              <w:rPr>
                <w:rFonts w:ascii="Arial" w:cs="Arial" w:eastAsia="Arial" w:hAnsi="Arial"/>
                <w:strike w:val="1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trike w:val="1"/>
                <w:color w:val="ff0000"/>
                <w:sz w:val="16"/>
                <w:szCs w:val="16"/>
                <w:rtl w:val="0"/>
              </w:rPr>
              <w:t xml:space="preserve">NBASP 4000/213 – Relatório - explica o que deve constar na seção de achados – (descrição do achado)</w:t>
            </w:r>
          </w:p>
          <w:p w:rsidR="00000000" w:rsidDel="00000000" w:rsidP="00000000" w:rsidRDefault="00000000" w:rsidRPr="00000000" w14:paraId="00000063">
            <w:pPr>
              <w:spacing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93c47d" w:space="0" w:sz="8" w:val="single"/>
              <w:left w:color="6d9eeb" w:space="0" w:sz="8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4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Guia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93c47d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5">
            <w:pPr>
              <w:spacing w:before="200"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achado de auditoria contém quatro atributos: situação encontrada (o que é), critério (o que deveria ser), causa (razão da discrepância entre a situação encontrada e o critério) e efeito (consequência da discrepância). O achado decorre da comparação da situação encontrada com o critério e deve ser devidamente comprovado por evidências juntadas ao relatório. O achado pode ser negativo (quando constitui impropriedade ou irregularidade) ou positivo (quando significa boas práticas de gestão).</w:t>
            </w:r>
          </w:p>
          <w:p w:rsidR="00000000" w:rsidDel="00000000" w:rsidP="00000000" w:rsidRDefault="00000000" w:rsidRPr="00000000" w14:paraId="00000066">
            <w:pPr>
              <w:spacing w:before="200"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preenchimento da coluna “critério” permite a revisão da fundamentação legal, da jurisprudência e da doutrina, diminuindo a possibilidade de eventuais omissões ou equívocos; </w:t>
            </w:r>
          </w:p>
          <w:p w:rsidR="00000000" w:rsidDel="00000000" w:rsidP="00000000" w:rsidRDefault="00000000" w:rsidRPr="00000000" w14:paraId="00000067">
            <w:pPr>
              <w:spacing w:before="200"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 verificação da suficiência e qualidade das “evidências” evita diligências posteriores que retardam o encaminhamento do processo às instâncias superiores. </w:t>
            </w:r>
          </w:p>
          <w:p w:rsidR="00000000" w:rsidDel="00000000" w:rsidP="00000000" w:rsidRDefault="00000000" w:rsidRPr="00000000" w14:paraId="00000068">
            <w:pPr>
              <w:spacing w:before="200"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 coluna “causa” está intimamente relacionada à imputação de responsabilidades em relação aos fatos encontrados na auditoria. A investigação acerca das causas deve ser feita quando relevante e necessária para dar consistência às propostas de encaminhamento, seja de aplicação de penalidades ou, em caso contrário, para afastar a ocorrência de irregularidades;</w:t>
            </w:r>
          </w:p>
          <w:p w:rsidR="00000000" w:rsidDel="00000000" w:rsidP="00000000" w:rsidRDefault="00000000" w:rsidRPr="00000000" w14:paraId="00000069">
            <w:pPr>
              <w:spacing w:before="200"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 análise e o registro do “efeito” de cada ocorrência na coluna respectiva servem para dimensionar a relevância do próprio achado além de fornecer elementos para a formulação das propostas de encaminhamento; </w:t>
            </w:r>
          </w:p>
          <w:p w:rsidR="00000000" w:rsidDel="00000000" w:rsidP="00000000" w:rsidRDefault="00000000" w:rsidRPr="00000000" w14:paraId="0000006A">
            <w:pPr>
              <w:spacing w:before="200"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Sempre que o achado se constituir em irregularidade, deve-se ter presente, ao preencher a coluna "proposta de encaminhamento", os dados registrados na Matriz de Responsabilização. É possível que um mesmo benefício esteja associado a mais de um achado;</w:t>
            </w:r>
          </w:p>
          <w:p w:rsidR="00000000" w:rsidDel="00000000" w:rsidP="00000000" w:rsidRDefault="00000000" w:rsidRPr="00000000" w14:paraId="0000006B">
            <w:pPr>
              <w:spacing w:before="200" w:line="276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Como etapa final de elaboração da matriz, a comparação das colunas “situação encontrada” e “proposta de encaminhamento” diminui a possibilidade de eventuais achados sem respectivas propostas de encaminhamento.</w:t>
            </w:r>
          </w:p>
        </w:tc>
      </w:tr>
      <w:tr>
        <w:trPr>
          <w:cantSplit w:val="0"/>
          <w:trHeight w:val="693" w:hRule="atLeast"/>
          <w:tblHeader w:val="0"/>
        </w:trPr>
        <w:tc>
          <w:tcPr>
            <w:tcBorders>
              <w:top w:color="93c47d" w:space="0" w:sz="8" w:val="single"/>
              <w:left w:color="6d9eeb" w:space="0" w:sz="8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C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Conclusão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93c47d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D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O coordenador e o supervisor da equipe de auditoria precisam verificar se foram consideradas de maneira adequada todas as questões propostas na matriz de planejamento e procedimentos. O planejamento da auditoria deve ser atualizado continuamente.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93c47d" w:space="0" w:sz="8" w:val="single"/>
              <w:left w:color="6d9eeb" w:space="0" w:sz="8" w:val="single"/>
              <w:bottom w:color="6d9eeb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E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Evidências de preparação e revisão </w:t>
            </w:r>
          </w:p>
        </w:tc>
        <w:tc>
          <w:tcPr>
            <w:tcBorders>
              <w:top w:color="93c47d" w:space="0" w:sz="8" w:val="single"/>
              <w:left w:color="93c47d" w:space="0" w:sz="8" w:val="single"/>
              <w:bottom w:color="6d9eeb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6F">
            <w:pPr>
              <w:tabs>
                <w:tab w:val="center" w:leader="none" w:pos="4252"/>
                <w:tab w:val="right" w:leader="none" w:pos="8504"/>
              </w:tabs>
              <w:spacing w:before="58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 tabela indicando o nome das pessoas que elaboraram e documentaram a matriz, bem como seu(s) revisor(es) deverão ser preenchidas ao final. </w:t>
            </w:r>
          </w:p>
        </w:tc>
      </w:tr>
    </w:tbl>
    <w:p w:rsidR="00000000" w:rsidDel="00000000" w:rsidP="00000000" w:rsidRDefault="00000000" w:rsidRPr="00000000" w14:paraId="00000070">
      <w:pPr>
        <w:widowControl w:val="1"/>
        <w:spacing w:line="276" w:lineRule="auto"/>
        <w:rPr>
          <w:rFonts w:ascii="Calibri" w:cs="Calibri" w:eastAsia="Calibri" w:hAnsi="Calibri"/>
          <w:sz w:val="22"/>
          <w:szCs w:val="22"/>
        </w:rPr>
        <w:sectPr>
          <w:type w:val="nextPage"/>
          <w:pgSz w:h="16837" w:w="11905" w:orient="portrait"/>
          <w:pgMar w:bottom="1133" w:top="1700" w:left="1700" w:right="1133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widowControl w:val="1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widowControl w:val="1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Instruções de preenchimento:</w:t>
      </w:r>
    </w:p>
    <w:p w:rsidR="00000000" w:rsidDel="00000000" w:rsidP="00000000" w:rsidRDefault="00000000" w:rsidRPr="00000000" w14:paraId="00000073">
      <w:pPr>
        <w:widowControl w:val="1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ectPr>
      <w:type w:val="nextPage"/>
      <w:pgSz w:h="11905" w:w="16837" w:orient="landscape"/>
      <w:pgMar w:bottom="1133.8582677165355" w:top="1700.7874015748032" w:left="1133.8582677165355" w:right="1133.8582677165355" w:header="284" w:footer="28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Calibri"/>
  <w:font w:name="Times New Roman"/>
  <w:font w:name="Ras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asa" w:cs="Rasa" w:eastAsia="Rasa" w:hAnsi="Ras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Rasa" w:cs="Rasa" w:eastAsia="Rasa" w:hAnsi="Ras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7285"/>
        <w:tab w:val="right" w:leader="none" w:pos="1457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C">
    <w:pPr>
      <w:widowControl w:val="1"/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7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7D">
          <w:pPr>
            <w:widowControl w:val="1"/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sz w:val="22"/>
              <w:szCs w:val="22"/>
            </w:rPr>
            <w:drawing>
              <wp:inline distB="0" distT="0" distL="0" distR="0">
                <wp:extent cx="1295400" cy="704850"/>
                <wp:effectExtent b="0" l="0" r="0" t="0"/>
                <wp:docPr id="2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7E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7F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80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81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82">
    <w:pPr>
      <w:widowControl w:val="1"/>
      <w:tabs>
        <w:tab w:val="center" w:leader="none" w:pos="4252"/>
        <w:tab w:val="right" w:leader="none" w:pos="8504"/>
      </w:tabs>
      <w:rPr>
        <w:rFonts w:ascii="Rasa" w:cs="Rasa" w:eastAsia="Rasa" w:hAnsi="Rasa"/>
        <w:b w:val="1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7285"/>
        <w:tab w:val="right" w:leader="none" w:pos="1457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  <w:qFormat w:val="1"/>
    <w:pPr>
      <w:widowControl w:val="0"/>
      <w:suppressAutoHyphens w:val="1"/>
    </w:pPr>
    <w:rPr>
      <w:rFonts w:cs="Mangal" w:eastAsia="Lucida Sans Unicode"/>
      <w:kern w:val="1"/>
      <w:sz w:val="24"/>
      <w:szCs w:val="24"/>
      <w:lang w:bidi="hi-IN" w:eastAsia="hi-IN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tulo1" w:customStyle="1">
    <w:name w:val="Título1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Ttulo">
    <w:name w:val="Title"/>
    <w:basedOn w:val="Ttulo1"/>
    <w:next w:val="Subttulo"/>
    <w:qFormat w:val="1"/>
  </w:style>
  <w:style w:type="paragraph" w:styleId="Subttulo">
    <w:name w:val="Subtitle"/>
    <w:basedOn w:val="Ttulo1"/>
    <w:next w:val="Corpodetexto"/>
    <w:qFormat w:val="1"/>
    <w:pPr>
      <w:jc w:val="center"/>
    </w:pPr>
    <w:rPr>
      <w:i w:val="1"/>
      <w:iCs w:val="1"/>
    </w:rPr>
  </w:style>
  <w:style w:type="paragraph" w:styleId="Lista">
    <w:name w:val="List"/>
    <w:basedOn w:val="Corpodetexto"/>
  </w:style>
  <w:style w:type="paragraph" w:styleId="Legenda1" w:customStyle="1">
    <w:name w:val="Legenda1"/>
    <w:basedOn w:val="Normal"/>
    <w:pPr>
      <w:suppressLineNumbers w:val="1"/>
      <w:spacing w:after="120" w:before="120"/>
    </w:pPr>
    <w:rPr>
      <w:i w:val="1"/>
      <w:iCs w:val="1"/>
    </w:rPr>
  </w:style>
  <w:style w:type="paragraph" w:styleId="ndice" w:customStyle="1">
    <w:name w:val="Índice"/>
    <w:basedOn w:val="Normal"/>
    <w:pPr>
      <w:suppressLineNumbers w:val="1"/>
    </w:pPr>
  </w:style>
  <w:style w:type="paragraph" w:styleId="Contedodetabela" w:customStyle="1">
    <w:name w:val="Conteúdo de tabela"/>
    <w:basedOn w:val="Normal"/>
    <w:pPr>
      <w:suppressLineNumbers w:val="1"/>
    </w:pPr>
  </w:style>
  <w:style w:type="paragraph" w:styleId="Cabealho">
    <w:name w:val="header"/>
    <w:basedOn w:val="Normal"/>
    <w:link w:val="CabealhoChar"/>
    <w:uiPriority w:val="99"/>
    <w:pPr>
      <w:suppressLineNumbers w:val="1"/>
      <w:tabs>
        <w:tab w:val="center" w:pos="7285"/>
        <w:tab w:val="right" w:pos="14570"/>
      </w:tabs>
    </w:pPr>
  </w:style>
  <w:style w:type="paragraph" w:styleId="Rodap">
    <w:name w:val="footer"/>
    <w:basedOn w:val="Normal"/>
    <w:link w:val="RodapChar"/>
    <w:uiPriority w:val="99"/>
    <w:rsid w:val="00A83D18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3F172D"/>
  </w:style>
  <w:style w:type="table" w:styleId="Tabelacomgrade">
    <w:name w:val="Table Grid"/>
    <w:basedOn w:val="Tabelanormal"/>
    <w:rsid w:val="00970E94"/>
    <w:pPr>
      <w:widowControl w:val="0"/>
      <w:suppressAutoHyphens w:val="1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balo">
    <w:name w:val="Balloon Text"/>
    <w:basedOn w:val="Normal"/>
    <w:semiHidden w:val="1"/>
    <w:rsid w:val="004D2300"/>
    <w:rPr>
      <w:rFonts w:ascii="Tahoma" w:cs="Tahoma" w:hAnsi="Tahoma"/>
      <w:sz w:val="16"/>
      <w:szCs w:val="16"/>
    </w:rPr>
  </w:style>
  <w:style w:type="character" w:styleId="RodapChar" w:customStyle="1">
    <w:name w:val="Rodapé Char"/>
    <w:link w:val="Rodap"/>
    <w:uiPriority w:val="99"/>
    <w:rsid w:val="006148A2"/>
    <w:rPr>
      <w:rFonts w:cs="Mangal" w:eastAsia="Lucida Sans Unicode"/>
      <w:kern w:val="1"/>
      <w:sz w:val="24"/>
      <w:szCs w:val="24"/>
      <w:lang w:bidi="hi-IN" w:eastAsia="hi-IN"/>
    </w:rPr>
  </w:style>
  <w:style w:type="character" w:styleId="Refdecomentrio">
    <w:name w:val="annotation reference"/>
    <w:rsid w:val="00396E79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96E79"/>
    <w:rPr>
      <w:sz w:val="20"/>
      <w:szCs w:val="18"/>
    </w:rPr>
  </w:style>
  <w:style w:type="character" w:styleId="TextodecomentrioChar" w:customStyle="1">
    <w:name w:val="Texto de comentário Char"/>
    <w:link w:val="Textodecomentrio"/>
    <w:rsid w:val="00396E79"/>
    <w:rPr>
      <w:rFonts w:cs="Mangal" w:eastAsia="Lucida Sans Unicode"/>
      <w:kern w:val="1"/>
      <w:szCs w:val="18"/>
      <w:lang w:bidi="hi-IN" w:eastAsia="hi-IN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396E79"/>
    <w:rPr>
      <w:b w:val="1"/>
      <w:bCs w:val="1"/>
    </w:rPr>
  </w:style>
  <w:style w:type="character" w:styleId="AssuntodocomentrioChar" w:customStyle="1">
    <w:name w:val="Assunto do comentário Char"/>
    <w:link w:val="Assuntodocomentrio"/>
    <w:rsid w:val="00396E79"/>
    <w:rPr>
      <w:rFonts w:cs="Mangal" w:eastAsia="Lucida Sans Unicode"/>
      <w:b w:val="1"/>
      <w:bCs w:val="1"/>
      <w:kern w:val="1"/>
      <w:szCs w:val="18"/>
      <w:lang w:bidi="hi-IN" w:eastAsia="hi-IN"/>
    </w:rPr>
  </w:style>
  <w:style w:type="character" w:styleId="CabealhoChar" w:customStyle="1">
    <w:name w:val="Cabeçalho Char"/>
    <w:link w:val="Cabealho"/>
    <w:uiPriority w:val="99"/>
    <w:rsid w:val="00A32529"/>
    <w:rPr>
      <w:rFonts w:cs="Mangal" w:eastAsia="Lucida Sans Unicode"/>
      <w:kern w:val="1"/>
      <w:sz w:val="24"/>
      <w:szCs w:val="24"/>
      <w:lang w:bidi="hi-IN" w:eastAsia="hi-IN"/>
    </w:r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widowControl w:val="1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7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  <w:style w:type="table" w:styleId="Table1">
    <w:basedOn w:val="TableNormal"/>
    <w:pPr>
      <w:widowControl w:val="1"/>
      <w:spacing w:line="240" w:lineRule="auto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widowControl w:val="1"/>
      <w:spacing w:line="240" w:lineRule="auto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widowControl w:val="1"/>
      <w:spacing w:line="240" w:lineRule="auto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widowControl w:val="1"/>
      <w:spacing w:line="240" w:lineRule="auto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5">
    <w:basedOn w:val="TableNormal"/>
    <w:pPr>
      <w:widowControl w:val="1"/>
      <w:spacing w:line="240" w:lineRule="auto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6">
    <w:basedOn w:val="TableNormal"/>
    <w:pPr>
      <w:widowControl w:val="1"/>
      <w:spacing w:line="240" w:lineRule="auto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7">
    <w:basedOn w:val="TableNormal"/>
    <w:pPr>
      <w:widowControl w:val="1"/>
      <w:spacing w:line="240" w:lineRule="auto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sa-regular.ttf"/><Relationship Id="rId2" Type="http://schemas.openxmlformats.org/officeDocument/2006/relationships/font" Target="fonts/Rasa-bold.ttf"/><Relationship Id="rId3" Type="http://schemas.openxmlformats.org/officeDocument/2006/relationships/font" Target="fonts/Rasa-italic.ttf"/><Relationship Id="rId4" Type="http://schemas.openxmlformats.org/officeDocument/2006/relationships/font" Target="fonts/Rasa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xIZZPQpiUkbkWxhYgdmMqCg9Pw==">CgMxLjAyCGguZ2pkZ3hzOAByITFEMGVXeHU5c1RHYkh2U01nZTQyUVVfU3BoYXhIV2lCTw==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2024-02-28T19:09:00Z</dcterms:created>
  <dc:creator>Ana Paula de Araujo Rocha</dc:creator>
</cp:coreProperties>
</file>