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136" coordsize="21600,21600" o:spt="136.0"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o:connectangles="270,180,90,0" o:connectlocs="@9,0;@10,10800;@11,21600;@12,10800" o:connecttype="custom" textpathok="t"/>
            <v:textpath fitshape="t" on="t"/>
            <v:handles/>
            <o:lock v:ext="edit" shapetype="t" text="t"/>
          </v:shapetype>
        </w:pic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3">
      <w:pPr>
        <w:tabs>
          <w:tab w:val="center" w:leader="none" w:pos="4252"/>
          <w:tab w:val="right" w:leader="none" w:pos="8504"/>
        </w:tabs>
        <w:jc w:val="center"/>
        <w:rPr>
          <w:rFonts w:ascii="Arial" w:cs="Arial" w:eastAsia="Arial" w:hAnsi="Arial"/>
          <w:b w:val="1"/>
          <w:sz w:val="22"/>
          <w:szCs w:val="22"/>
        </w:rPr>
      </w:pPr>
      <w:bookmarkStart w:colFirst="0" w:colLast="0" w:name="_heading=h.gjdgxs" w:id="0"/>
      <w:bookmarkEnd w:id="0"/>
      <w:r w:rsidDel="00000000" w:rsidR="00000000" w:rsidRPr="00000000">
        <w:rPr>
          <w:rFonts w:ascii="Arial" w:cs="Arial" w:eastAsia="Arial" w:hAnsi="Arial"/>
          <w:b w:val="1"/>
          <w:sz w:val="22"/>
          <w:szCs w:val="22"/>
          <w:rtl w:val="0"/>
        </w:rPr>
        <w:t xml:space="preserve">DEFININDO A MATERIALIDADE NA FASE DE PLANEJAMENTO</w:t>
      </w:r>
    </w:p>
    <w:p w:rsidR="00000000" w:rsidDel="00000000" w:rsidP="00000000" w:rsidRDefault="00000000" w:rsidRPr="00000000" w14:paraId="00000004">
      <w:pPr>
        <w:spacing w:before="58" w:lineRule="auto"/>
        <w:rPr>
          <w:rFonts w:ascii="Arial" w:cs="Arial" w:eastAsia="Arial" w:hAnsi="Arial"/>
          <w:b w:val="1"/>
          <w:sz w:val="20"/>
          <w:szCs w:val="20"/>
        </w:rPr>
      </w:pPr>
      <w:r w:rsidDel="00000000" w:rsidR="00000000" w:rsidRPr="00000000">
        <w:rPr>
          <w:rtl w:val="0"/>
        </w:rPr>
      </w:r>
    </w:p>
    <w:tbl>
      <w:tblPr>
        <w:tblStyle w:val="Table1"/>
        <w:tblW w:w="964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370"/>
        <w:gridCol w:w="7270"/>
        <w:tblGridChange w:id="0">
          <w:tblGrid>
            <w:gridCol w:w="2370"/>
            <w:gridCol w:w="7270"/>
          </w:tblGrid>
        </w:tblGridChange>
      </w:tblGrid>
      <w:tr>
        <w:trPr>
          <w:cantSplit w:val="0"/>
          <w:tblHeader w:val="0"/>
        </w:trPr>
        <w:tc>
          <w:tcPr>
            <w:shd w:fill="cccccc" w:val="clear"/>
          </w:tcPr>
          <w:p w:rsidR="00000000" w:rsidDel="00000000" w:rsidP="00000000" w:rsidRDefault="00000000" w:rsidRPr="00000000" w14:paraId="00000005">
            <w:pPr>
              <w:spacing w:before="58"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UNIDADE JURISDICIONADA</w:t>
            </w:r>
          </w:p>
        </w:tc>
        <w:tc>
          <w:tcPr>
            <w:shd w:fill="auto" w:val="clear"/>
          </w:tcPr>
          <w:p w:rsidR="00000000" w:rsidDel="00000000" w:rsidP="00000000" w:rsidRDefault="00000000" w:rsidRPr="00000000" w14:paraId="00000006">
            <w:pPr>
              <w:spacing w:before="58" w:lineRule="auto"/>
              <w:rPr>
                <w:rFonts w:ascii="Arial" w:cs="Arial" w:eastAsia="Arial" w:hAnsi="Arial"/>
                <w:b w:val="1"/>
                <w:sz w:val="20"/>
                <w:szCs w:val="20"/>
              </w:rPr>
            </w:pPr>
            <w:r w:rsidDel="00000000" w:rsidR="00000000" w:rsidRPr="00000000">
              <w:rPr>
                <w:rtl w:val="0"/>
              </w:rPr>
            </w:r>
          </w:p>
        </w:tc>
      </w:tr>
      <w:tr>
        <w:trPr>
          <w:cantSplit w:val="0"/>
          <w:tblHeader w:val="0"/>
        </w:trPr>
        <w:tc>
          <w:tcPr>
            <w:shd w:fill="cccccc" w:val="clear"/>
          </w:tcPr>
          <w:p w:rsidR="00000000" w:rsidDel="00000000" w:rsidP="00000000" w:rsidRDefault="00000000" w:rsidRPr="00000000" w14:paraId="00000007">
            <w:pPr>
              <w:spacing w:before="58"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OBJETO DA FISCALIZAÇÃO</w:t>
            </w:r>
          </w:p>
        </w:tc>
        <w:tc>
          <w:tcPr>
            <w:shd w:fill="auto" w:val="clear"/>
          </w:tcPr>
          <w:p w:rsidR="00000000" w:rsidDel="00000000" w:rsidP="00000000" w:rsidRDefault="00000000" w:rsidRPr="00000000" w14:paraId="00000008">
            <w:pPr>
              <w:spacing w:before="58" w:lineRule="auto"/>
              <w:rPr>
                <w:rFonts w:ascii="Arial" w:cs="Arial" w:eastAsia="Arial" w:hAnsi="Arial"/>
                <w:b w:val="1"/>
                <w:sz w:val="20"/>
                <w:szCs w:val="20"/>
              </w:rPr>
            </w:pPr>
            <w:r w:rsidDel="00000000" w:rsidR="00000000" w:rsidRPr="00000000">
              <w:rPr>
                <w:rtl w:val="0"/>
              </w:rPr>
            </w:r>
          </w:p>
        </w:tc>
      </w:tr>
    </w:tbl>
    <w:p w:rsidR="00000000" w:rsidDel="00000000" w:rsidP="00000000" w:rsidRDefault="00000000" w:rsidRPr="00000000" w14:paraId="00000009">
      <w:pPr>
        <w:tabs>
          <w:tab w:val="center" w:leader="none" w:pos="4252"/>
          <w:tab w:val="right" w:leader="none" w:pos="8504"/>
        </w:tabs>
        <w:rPr>
          <w:rFonts w:ascii="Arial" w:cs="Arial" w:eastAsia="Arial" w:hAnsi="Arial"/>
          <w:b w:val="1"/>
          <w:sz w:val="20"/>
          <w:szCs w:val="20"/>
        </w:rPr>
      </w:pPr>
      <w:r w:rsidDel="00000000" w:rsidR="00000000" w:rsidRPr="00000000">
        <w:rPr>
          <w:rtl w:val="0"/>
        </w:rPr>
      </w:r>
    </w:p>
    <w:tbl>
      <w:tblPr>
        <w:tblStyle w:val="Table2"/>
        <w:tblW w:w="964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75"/>
        <w:gridCol w:w="2265"/>
        <w:gridCol w:w="2265"/>
        <w:gridCol w:w="2265"/>
        <w:gridCol w:w="2265"/>
        <w:gridCol w:w="105"/>
        <w:tblGridChange w:id="0">
          <w:tblGrid>
            <w:gridCol w:w="475"/>
            <w:gridCol w:w="2265"/>
            <w:gridCol w:w="2265"/>
            <w:gridCol w:w="2265"/>
            <w:gridCol w:w="2265"/>
            <w:gridCol w:w="105"/>
          </w:tblGrid>
        </w:tblGridChange>
      </w:tblGrid>
      <w:tr>
        <w:trPr>
          <w:cantSplit w:val="0"/>
          <w:trHeight w:val="600" w:hRule="atLeast"/>
          <w:tblHeader w:val="0"/>
        </w:trPr>
        <w:tc>
          <w:tcPr>
            <w:gridSpan w:val="6"/>
            <w:tcBorders>
              <w:top w:color="000000" w:space="0" w:sz="4" w:val="single"/>
              <w:left w:color="000000" w:space="0" w:sz="4" w:val="single"/>
              <w:bottom w:color="000000" w:space="0" w:sz="4" w:val="single"/>
              <w:right w:color="6d9eeb" w:space="0" w:sz="8" w:val="single"/>
            </w:tcBorders>
            <w:shd w:fill="cfe2f3" w:val="clear"/>
            <w:vAlign w:val="center"/>
          </w:tcPr>
          <w:p w:rsidR="00000000" w:rsidDel="00000000" w:rsidP="00000000" w:rsidRDefault="00000000" w:rsidRPr="00000000" w14:paraId="0000000A">
            <w:pPr>
              <w:tabs>
                <w:tab w:val="center" w:leader="none" w:pos="4252"/>
                <w:tab w:val="right" w:leader="none" w:pos="8504"/>
              </w:tabs>
              <w:rPr>
                <w:rFonts w:ascii="Arial" w:cs="Arial" w:eastAsia="Arial" w:hAnsi="Arial"/>
                <w:b w:val="1"/>
                <w:color w:val="1c4587"/>
                <w:sz w:val="20"/>
                <w:szCs w:val="20"/>
              </w:rPr>
            </w:pPr>
            <w:r w:rsidDel="00000000" w:rsidR="00000000" w:rsidRPr="00000000">
              <w:rPr>
                <w:rFonts w:ascii="Arial" w:cs="Arial" w:eastAsia="Arial" w:hAnsi="Arial"/>
                <w:b w:val="1"/>
                <w:color w:val="1c4587"/>
                <w:sz w:val="20"/>
                <w:szCs w:val="20"/>
                <w:rtl w:val="0"/>
              </w:rPr>
              <w:t xml:space="preserve">Definindo materialidade por valor (se o assunto/objeto for quantificável)</w:t>
            </w:r>
          </w:p>
        </w:tc>
      </w:tr>
      <w:tr>
        <w:trPr>
          <w:cantSplit w:val="0"/>
          <w:trHeight w:val="346" w:hRule="atLeast"/>
          <w:tblHeader w:val="0"/>
        </w:trPr>
        <w:tc>
          <w:tcPr>
            <w:gridSpan w:val="6"/>
            <w:tcBorders>
              <w:top w:color="000000" w:space="0" w:sz="4" w:val="single"/>
              <w:left w:color="000000" w:space="0" w:sz="4" w:val="single"/>
              <w:bottom w:color="000000" w:space="0" w:sz="4" w:val="single"/>
              <w:right w:color="6d9eeb" w:space="0" w:sz="8" w:val="single"/>
            </w:tcBorders>
            <w:shd w:fill="ffffff" w:val="clear"/>
            <w:vAlign w:val="center"/>
          </w:tcPr>
          <w:p w:rsidR="00000000" w:rsidDel="00000000" w:rsidP="00000000" w:rsidRDefault="00000000" w:rsidRPr="00000000" w14:paraId="00000010">
            <w:pPr>
              <w:pBdr>
                <w:top w:space="0" w:sz="0" w:val="nil"/>
                <w:left w:space="0" w:sz="0" w:val="nil"/>
                <w:bottom w:space="0" w:sz="0" w:val="nil"/>
                <w:right w:space="0" w:sz="0" w:val="nil"/>
                <w:between w:space="0" w:sz="0" w:val="nil"/>
              </w:pBdr>
              <w:tabs>
                <w:tab w:val="center" w:leader="none" w:pos="4252"/>
                <w:tab w:val="right" w:leader="none" w:pos="8504"/>
              </w:tabs>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Materialidade por valor:</w:t>
            </w:r>
          </w:p>
        </w:tc>
      </w:tr>
      <w:tr>
        <w:trPr>
          <w:cantSplit w:val="0"/>
          <w:trHeight w:val="346" w:hRule="atLeast"/>
          <w:tblHeader w:val="0"/>
        </w:trPr>
        <w:tc>
          <w:tcPr>
            <w:gridSpan w:val="6"/>
            <w:tcBorders>
              <w:top w:color="000000" w:space="0" w:sz="4" w:val="single"/>
              <w:left w:color="000000" w:space="0" w:sz="4" w:val="single"/>
              <w:bottom w:color="000000" w:space="0" w:sz="4" w:val="single"/>
              <w:right w:color="6d9eeb" w:space="0" w:sz="8" w:val="single"/>
            </w:tcBorders>
            <w:shd w:fill="ffffff" w:val="clear"/>
            <w:vAlign w:val="center"/>
          </w:tcPr>
          <w:p w:rsidR="00000000" w:rsidDel="00000000" w:rsidP="00000000" w:rsidRDefault="00000000" w:rsidRPr="00000000" w14:paraId="00000016">
            <w:pPr>
              <w:pBdr>
                <w:top w:space="0" w:sz="0" w:val="nil"/>
                <w:left w:space="0" w:sz="0" w:val="nil"/>
                <w:bottom w:space="0" w:sz="0" w:val="nil"/>
                <w:right w:space="0" w:sz="0" w:val="nil"/>
                <w:between w:space="0" w:sz="0" w:val="nil"/>
              </w:pBdr>
              <w:tabs>
                <w:tab w:val="center" w:leader="none" w:pos="4252"/>
                <w:tab w:val="right" w:leader="none" w:pos="8504"/>
              </w:tabs>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xxxxxxx</w:t>
            </w:r>
          </w:p>
          <w:p w:rsidR="00000000" w:rsidDel="00000000" w:rsidP="00000000" w:rsidRDefault="00000000" w:rsidRPr="00000000" w14:paraId="00000017">
            <w:pPr>
              <w:pBdr>
                <w:top w:space="0" w:sz="0" w:val="nil"/>
                <w:left w:space="0" w:sz="0" w:val="nil"/>
                <w:bottom w:space="0" w:sz="0" w:val="nil"/>
                <w:right w:space="0" w:sz="0" w:val="nil"/>
                <w:between w:space="0" w:sz="0" w:val="nil"/>
              </w:pBdr>
              <w:tabs>
                <w:tab w:val="center" w:leader="none" w:pos="4252"/>
                <w:tab w:val="right" w:leader="none" w:pos="8504"/>
              </w:tabs>
              <w:rPr>
                <w:rFonts w:ascii="Arial" w:cs="Arial" w:eastAsia="Arial" w:hAnsi="Arial"/>
                <w:color w:val="ff0000"/>
                <w:sz w:val="20"/>
                <w:szCs w:val="20"/>
              </w:rPr>
            </w:pPr>
            <w:r w:rsidDel="00000000" w:rsidR="00000000" w:rsidRPr="00000000">
              <w:rPr>
                <w:rtl w:val="0"/>
              </w:rPr>
            </w:r>
          </w:p>
        </w:tc>
      </w:tr>
      <w:tr>
        <w:trPr>
          <w:cantSplit w:val="0"/>
          <w:trHeight w:val="346" w:hRule="atLeast"/>
          <w:tblHeader w:val="0"/>
        </w:trPr>
        <w:tc>
          <w:tcPr>
            <w:gridSpan w:val="6"/>
            <w:tcBorders>
              <w:top w:color="000000" w:space="0" w:sz="4" w:val="single"/>
              <w:left w:color="000000" w:space="0" w:sz="4" w:val="single"/>
              <w:bottom w:color="000000" w:space="0" w:sz="4" w:val="single"/>
              <w:right w:color="6d9eeb" w:space="0" w:sz="8" w:val="single"/>
            </w:tcBorders>
            <w:shd w:fill="ffffff" w:val="clear"/>
            <w:vAlign w:val="center"/>
          </w:tcPr>
          <w:p w:rsidR="00000000" w:rsidDel="00000000" w:rsidP="00000000" w:rsidRDefault="00000000" w:rsidRPr="00000000" w14:paraId="0000001D">
            <w:pPr>
              <w:tabs>
                <w:tab w:val="center" w:leader="none" w:pos="4252"/>
                <w:tab w:val="right" w:leader="none" w:pos="8504"/>
              </w:tabs>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Memória de cálculo da materialidade por valor:</w:t>
            </w:r>
          </w:p>
        </w:tc>
      </w:tr>
      <w:tr>
        <w:trPr>
          <w:cantSplit w:val="0"/>
          <w:tblHeader w:val="0"/>
        </w:trPr>
        <w:tc>
          <w:tcPr>
            <w:gridSpan w:val="6"/>
            <w:tcBorders>
              <w:top w:color="000000" w:space="0" w:sz="4" w:val="single"/>
              <w:left w:color="000000" w:space="0" w:sz="4" w:val="single"/>
              <w:bottom w:color="000000" w:space="0" w:sz="4" w:val="single"/>
              <w:right w:color="6d9eeb" w:space="0" w:sz="8" w:val="single"/>
            </w:tcBorders>
            <w:shd w:fill="ffffff" w:val="clear"/>
            <w:vAlign w:val="center"/>
          </w:tcPr>
          <w:p w:rsidR="00000000" w:rsidDel="00000000" w:rsidP="00000000" w:rsidRDefault="00000000" w:rsidRPr="00000000" w14:paraId="00000023">
            <w:pPr>
              <w:tabs>
                <w:tab w:val="center" w:leader="none" w:pos="4252"/>
                <w:tab w:val="right" w:leader="none" w:pos="8504"/>
              </w:tabs>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xxxxxxx</w:t>
            </w:r>
          </w:p>
          <w:p w:rsidR="00000000" w:rsidDel="00000000" w:rsidP="00000000" w:rsidRDefault="00000000" w:rsidRPr="00000000" w14:paraId="00000024">
            <w:pPr>
              <w:tabs>
                <w:tab w:val="center" w:leader="none" w:pos="4252"/>
                <w:tab w:val="right" w:leader="none" w:pos="8504"/>
              </w:tabs>
              <w:rPr>
                <w:rFonts w:ascii="Arial" w:cs="Arial" w:eastAsia="Arial" w:hAnsi="Arial"/>
                <w:color w:val="ff0000"/>
                <w:sz w:val="20"/>
                <w:szCs w:val="20"/>
              </w:rPr>
            </w:pPr>
            <w:r w:rsidDel="00000000" w:rsidR="00000000" w:rsidRPr="00000000">
              <w:rPr>
                <w:rtl w:val="0"/>
              </w:rPr>
            </w:r>
          </w:p>
        </w:tc>
      </w:tr>
      <w:tr>
        <w:trPr>
          <w:cantSplit w:val="0"/>
          <w:trHeight w:val="421" w:hRule="atLeast"/>
          <w:tblHeader w:val="0"/>
        </w:trPr>
        <w:tc>
          <w:tcPr>
            <w:gridSpan w:val="6"/>
            <w:tcBorders>
              <w:top w:color="000000" w:space="0" w:sz="4" w:val="single"/>
              <w:left w:color="000000" w:space="0" w:sz="4" w:val="single"/>
              <w:bottom w:color="000000" w:space="0" w:sz="4" w:val="single"/>
              <w:right w:color="6d9eeb" w:space="0" w:sz="8" w:val="single"/>
            </w:tcBorders>
            <w:shd w:fill="cfe2f3" w:val="clear"/>
            <w:vAlign w:val="center"/>
          </w:tcPr>
          <w:p w:rsidR="00000000" w:rsidDel="00000000" w:rsidP="00000000" w:rsidRDefault="00000000" w:rsidRPr="00000000" w14:paraId="0000002A">
            <w:pPr>
              <w:tabs>
                <w:tab w:val="center" w:leader="none" w:pos="4252"/>
                <w:tab w:val="right" w:leader="none" w:pos="8504"/>
              </w:tabs>
              <w:rPr>
                <w:rFonts w:ascii="Arial" w:cs="Arial" w:eastAsia="Arial" w:hAnsi="Arial"/>
                <w:b w:val="1"/>
                <w:color w:val="1c4587"/>
                <w:sz w:val="20"/>
                <w:szCs w:val="20"/>
              </w:rPr>
            </w:pPr>
            <w:r w:rsidDel="00000000" w:rsidR="00000000" w:rsidRPr="00000000">
              <w:rPr>
                <w:rFonts w:ascii="Arial" w:cs="Arial" w:eastAsia="Arial" w:hAnsi="Arial"/>
                <w:b w:val="1"/>
                <w:color w:val="1c4587"/>
                <w:sz w:val="20"/>
                <w:szCs w:val="20"/>
                <w:rtl w:val="0"/>
              </w:rPr>
              <w:t xml:space="preserve">Definindo materialidade qualitativa</w:t>
            </w:r>
          </w:p>
        </w:tc>
      </w:tr>
      <w:tr>
        <w:trPr>
          <w:cantSplit w:val="0"/>
          <w:trHeight w:val="421" w:hRule="atLeast"/>
          <w:tblHeader w:val="0"/>
        </w:trPr>
        <w:tc>
          <w:tcPr>
            <w:gridSpan w:val="6"/>
            <w:tcBorders>
              <w:top w:color="000000" w:space="0" w:sz="4" w:val="single"/>
              <w:left w:color="000000" w:space="0" w:sz="4" w:val="single"/>
              <w:bottom w:color="000000" w:space="0" w:sz="4" w:val="single"/>
              <w:right w:color="6d9eeb" w:space="0" w:sz="8" w:val="single"/>
            </w:tcBorders>
            <w:shd w:fill="ffffff" w:val="clear"/>
            <w:vAlign w:val="center"/>
          </w:tcPr>
          <w:p w:rsidR="00000000" w:rsidDel="00000000" w:rsidP="00000000" w:rsidRDefault="00000000" w:rsidRPr="00000000" w14:paraId="00000030">
            <w:pPr>
              <w:pBdr>
                <w:top w:space="0" w:sz="0" w:val="nil"/>
                <w:left w:space="0" w:sz="0" w:val="nil"/>
                <w:bottom w:space="0" w:sz="0" w:val="nil"/>
                <w:right w:space="0" w:sz="0" w:val="nil"/>
                <w:between w:space="0" w:sz="0" w:val="nil"/>
              </w:pBdr>
              <w:tabs>
                <w:tab w:val="center" w:leader="none" w:pos="4252"/>
                <w:tab w:val="right" w:leader="none" w:pos="8504"/>
              </w:tabs>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Materialidade por natureza:</w:t>
            </w:r>
          </w:p>
        </w:tc>
      </w:tr>
      <w:tr>
        <w:trPr>
          <w:cantSplit w:val="0"/>
          <w:tblHeader w:val="0"/>
        </w:trPr>
        <w:tc>
          <w:tcPr>
            <w:gridSpan w:val="6"/>
            <w:tcBorders>
              <w:top w:color="000000" w:space="0" w:sz="4" w:val="single"/>
              <w:left w:color="000000" w:space="0" w:sz="4" w:val="single"/>
              <w:bottom w:color="000000" w:space="0" w:sz="4" w:val="single"/>
              <w:right w:color="6d9eeb" w:space="0" w:sz="8" w:val="single"/>
            </w:tcBorders>
            <w:shd w:fill="ffffff" w:val="clear"/>
            <w:vAlign w:val="center"/>
          </w:tcPr>
          <w:p w:rsidR="00000000" w:rsidDel="00000000" w:rsidP="00000000" w:rsidRDefault="00000000" w:rsidRPr="00000000" w14:paraId="00000036">
            <w:pPr>
              <w:tabs>
                <w:tab w:val="center" w:leader="none" w:pos="4252"/>
                <w:tab w:val="right" w:leader="none" w:pos="8504"/>
              </w:tabs>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xxxxxxx</w:t>
            </w:r>
          </w:p>
          <w:p w:rsidR="00000000" w:rsidDel="00000000" w:rsidP="00000000" w:rsidRDefault="00000000" w:rsidRPr="00000000" w14:paraId="00000037">
            <w:pPr>
              <w:tabs>
                <w:tab w:val="center" w:leader="none" w:pos="4252"/>
                <w:tab w:val="right" w:leader="none" w:pos="8504"/>
              </w:tabs>
              <w:rPr>
                <w:rFonts w:ascii="Arial" w:cs="Arial" w:eastAsia="Arial" w:hAnsi="Arial"/>
                <w:color w:val="ff0000"/>
                <w:sz w:val="20"/>
                <w:szCs w:val="20"/>
              </w:rPr>
            </w:pPr>
            <w:r w:rsidDel="00000000" w:rsidR="00000000" w:rsidRPr="00000000">
              <w:rPr>
                <w:rtl w:val="0"/>
              </w:rPr>
            </w:r>
          </w:p>
        </w:tc>
      </w:tr>
      <w:tr>
        <w:trPr>
          <w:cantSplit w:val="0"/>
          <w:trHeight w:val="331" w:hRule="atLeast"/>
          <w:tblHeader w:val="0"/>
        </w:trPr>
        <w:tc>
          <w:tcPr>
            <w:gridSpan w:val="6"/>
            <w:tcBorders>
              <w:top w:color="000000" w:space="0" w:sz="4" w:val="single"/>
              <w:left w:color="000000" w:space="0" w:sz="4" w:val="single"/>
              <w:bottom w:color="000000" w:space="0" w:sz="4" w:val="single"/>
              <w:right w:color="6d9eeb" w:space="0" w:sz="8" w:val="single"/>
            </w:tcBorders>
            <w:shd w:fill="ffffff" w:val="clear"/>
            <w:vAlign w:val="center"/>
          </w:tcPr>
          <w:p w:rsidR="00000000" w:rsidDel="00000000" w:rsidP="00000000" w:rsidRDefault="00000000" w:rsidRPr="00000000" w14:paraId="0000003D">
            <w:pPr>
              <w:pBdr>
                <w:top w:space="0" w:sz="0" w:val="nil"/>
                <w:left w:space="0" w:sz="0" w:val="nil"/>
                <w:bottom w:space="0" w:sz="0" w:val="nil"/>
                <w:right w:space="0" w:sz="0" w:val="nil"/>
                <w:between w:space="0" w:sz="0" w:val="nil"/>
              </w:pBdr>
              <w:tabs>
                <w:tab w:val="center" w:leader="none" w:pos="4252"/>
                <w:tab w:val="right" w:leader="none" w:pos="8504"/>
              </w:tabs>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Materialidade do contexto:</w:t>
            </w:r>
          </w:p>
        </w:tc>
      </w:tr>
      <w:tr>
        <w:trPr>
          <w:cantSplit w:val="0"/>
          <w:tblHeader w:val="0"/>
        </w:trPr>
        <w:tc>
          <w:tcPr>
            <w:gridSpan w:val="6"/>
            <w:tcBorders>
              <w:top w:color="000000" w:space="0" w:sz="4" w:val="single"/>
              <w:left w:color="000000" w:space="0" w:sz="4" w:val="single"/>
              <w:bottom w:color="000000" w:space="0" w:sz="4" w:val="single"/>
              <w:right w:color="6d9eeb" w:space="0" w:sz="8" w:val="single"/>
            </w:tcBorders>
            <w:vAlign w:val="center"/>
          </w:tcPr>
          <w:p w:rsidR="00000000" w:rsidDel="00000000" w:rsidP="00000000" w:rsidRDefault="00000000" w:rsidRPr="00000000" w14:paraId="00000043">
            <w:pPr>
              <w:tabs>
                <w:tab w:val="center" w:leader="none" w:pos="4252"/>
                <w:tab w:val="right" w:leader="none" w:pos="8504"/>
              </w:tabs>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xxxxxxx</w:t>
            </w:r>
          </w:p>
          <w:p w:rsidR="00000000" w:rsidDel="00000000" w:rsidP="00000000" w:rsidRDefault="00000000" w:rsidRPr="00000000" w14:paraId="00000044">
            <w:pPr>
              <w:tabs>
                <w:tab w:val="center" w:leader="none" w:pos="4252"/>
                <w:tab w:val="right" w:leader="none" w:pos="8504"/>
              </w:tabs>
              <w:rPr>
                <w:rFonts w:ascii="Arial" w:cs="Arial" w:eastAsia="Arial" w:hAnsi="Arial"/>
                <w:color w:val="ff0000"/>
                <w:sz w:val="20"/>
                <w:szCs w:val="20"/>
              </w:rPr>
            </w:pPr>
            <w:r w:rsidDel="00000000" w:rsidR="00000000" w:rsidRPr="00000000">
              <w:rPr>
                <w:rtl w:val="0"/>
              </w:rPr>
            </w:r>
          </w:p>
        </w:tc>
      </w:tr>
    </w:tbl>
    <w:p w:rsidR="00000000" w:rsidDel="00000000" w:rsidP="00000000" w:rsidRDefault="00000000" w:rsidRPr="00000000" w14:paraId="0000004A">
      <w:pPr>
        <w:tabs>
          <w:tab w:val="center" w:leader="none" w:pos="4252"/>
          <w:tab w:val="right" w:leader="none" w:pos="8504"/>
        </w:tabs>
        <w:rPr>
          <w:rFonts w:ascii="Arial" w:cs="Arial" w:eastAsia="Arial" w:hAnsi="Arial"/>
          <w:sz w:val="20"/>
          <w:szCs w:val="20"/>
        </w:rPr>
      </w:pPr>
      <w:r w:rsidDel="00000000" w:rsidR="00000000" w:rsidRPr="00000000">
        <w:rPr>
          <w:rtl w:val="0"/>
        </w:rPr>
      </w:r>
    </w:p>
    <w:tbl>
      <w:tblPr>
        <w:tblStyle w:val="Table3"/>
        <w:tblW w:w="964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995"/>
        <w:gridCol w:w="7645"/>
        <w:tblGridChange w:id="0">
          <w:tblGrid>
            <w:gridCol w:w="1995"/>
            <w:gridCol w:w="7645"/>
          </w:tblGrid>
        </w:tblGridChange>
      </w:tblGrid>
      <w:tr>
        <w:trPr>
          <w:cantSplit w:val="0"/>
          <w:tblHeader w:val="0"/>
        </w:trPr>
        <w:tc>
          <w:tcPr>
            <w:shd w:fill="cccccc" w:val="clear"/>
          </w:tcPr>
          <w:p w:rsidR="00000000" w:rsidDel="00000000" w:rsidP="00000000" w:rsidRDefault="00000000" w:rsidRPr="00000000" w14:paraId="0000004B">
            <w:pPr>
              <w:spacing w:after="57" w:before="57"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COORDENADOR</w:t>
            </w:r>
          </w:p>
        </w:tc>
        <w:tc>
          <w:tcPr>
            <w:shd w:fill="auto" w:val="clear"/>
          </w:tcPr>
          <w:p w:rsidR="00000000" w:rsidDel="00000000" w:rsidP="00000000" w:rsidRDefault="00000000" w:rsidRPr="00000000" w14:paraId="0000004C">
            <w:pPr>
              <w:spacing w:after="57" w:before="57" w:lineRule="auto"/>
              <w:jc w:val="both"/>
              <w:rPr>
                <w:rFonts w:ascii="Arial" w:cs="Arial" w:eastAsia="Arial" w:hAnsi="Arial"/>
                <w:sz w:val="20"/>
                <w:szCs w:val="20"/>
              </w:rPr>
            </w:pPr>
            <w:r w:rsidDel="00000000" w:rsidR="00000000" w:rsidRPr="00000000">
              <w:rPr>
                <w:rtl w:val="0"/>
              </w:rPr>
            </w:r>
          </w:p>
        </w:tc>
      </w:tr>
      <w:tr>
        <w:trPr>
          <w:cantSplit w:val="0"/>
          <w:tblHeader w:val="0"/>
        </w:trPr>
        <w:tc>
          <w:tcPr>
            <w:gridSpan w:val="2"/>
            <w:shd w:fill="auto" w:val="clear"/>
          </w:tcPr>
          <w:p w:rsidR="00000000" w:rsidDel="00000000" w:rsidP="00000000" w:rsidRDefault="00000000" w:rsidRPr="00000000" w14:paraId="0000004D">
            <w:pPr>
              <w:spacing w:after="57" w:before="57"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EQUIPE:</w:t>
            </w:r>
          </w:p>
          <w:p w:rsidR="00000000" w:rsidDel="00000000" w:rsidP="00000000" w:rsidRDefault="00000000" w:rsidRPr="00000000" w14:paraId="0000004E">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XXXX</w:t>
            </w:r>
          </w:p>
          <w:p w:rsidR="00000000" w:rsidDel="00000000" w:rsidP="00000000" w:rsidRDefault="00000000" w:rsidRPr="00000000" w14:paraId="0000004F">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YYYY</w:t>
            </w:r>
          </w:p>
          <w:p w:rsidR="00000000" w:rsidDel="00000000" w:rsidP="00000000" w:rsidRDefault="00000000" w:rsidRPr="00000000" w14:paraId="00000050">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ZZZZ</w:t>
            </w:r>
          </w:p>
        </w:tc>
      </w:tr>
    </w:tbl>
    <w:p w:rsidR="00000000" w:rsidDel="00000000" w:rsidP="00000000" w:rsidRDefault="00000000" w:rsidRPr="00000000" w14:paraId="00000052">
      <w:pPr>
        <w:spacing w:after="57" w:before="57" w:lineRule="auto"/>
        <w:jc w:val="both"/>
        <w:rPr>
          <w:rFonts w:ascii="Arial" w:cs="Arial" w:eastAsia="Arial" w:hAnsi="Arial"/>
          <w:b w:val="1"/>
          <w:sz w:val="20"/>
          <w:szCs w:val="20"/>
        </w:rPr>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1700.7874015748032" w:top="1700.7874015748032" w:left="1133.8582677165355" w:right="1133.8582677165355" w:header="709" w:footer="709"/>
          <w:pgNumType w:start="1"/>
        </w:sectPr>
      </w:pPr>
      <w:r w:rsidDel="00000000" w:rsidR="00000000" w:rsidRPr="00000000">
        <w:br w:type="page"/>
      </w:r>
      <w:r w:rsidDel="00000000" w:rsidR="00000000" w:rsidRPr="00000000">
        <w:rPr>
          <w:rtl w:val="0"/>
        </w:rPr>
      </w:r>
    </w:p>
    <w:p w:rsidR="00000000" w:rsidDel="00000000" w:rsidP="00000000" w:rsidRDefault="00000000" w:rsidRPr="00000000" w14:paraId="00000053">
      <w:pPr>
        <w:tabs>
          <w:tab w:val="center" w:leader="none" w:pos="4252"/>
          <w:tab w:val="right" w:leader="none" w:pos="8504"/>
        </w:tabs>
        <w:jc w:val="both"/>
        <w:rPr>
          <w:rFonts w:ascii="Arial" w:cs="Arial" w:eastAsia="Arial" w:hAnsi="Arial"/>
          <w:b w:val="1"/>
          <w:color w:val="1c4587"/>
          <w:sz w:val="20"/>
          <w:szCs w:val="20"/>
        </w:rPr>
      </w:pPr>
      <w:r w:rsidDel="00000000" w:rsidR="00000000" w:rsidRPr="00000000">
        <w:rPr>
          <w:rFonts w:ascii="Arial" w:cs="Arial" w:eastAsia="Arial" w:hAnsi="Arial"/>
          <w:b w:val="1"/>
          <w:color w:val="1c4587"/>
          <w:sz w:val="20"/>
          <w:szCs w:val="20"/>
          <w:rtl w:val="0"/>
        </w:rPr>
        <w:t xml:space="preserve">Orientações para preencher a definição de materialidade na fase de planejamento</w:t>
      </w:r>
    </w:p>
    <w:p w:rsidR="00000000" w:rsidDel="00000000" w:rsidP="00000000" w:rsidRDefault="00000000" w:rsidRPr="00000000" w14:paraId="00000054">
      <w:pPr>
        <w:tabs>
          <w:tab w:val="center" w:leader="none" w:pos="4252"/>
          <w:tab w:val="right" w:leader="none" w:pos="8504"/>
        </w:tabs>
        <w:jc w:val="center"/>
        <w:rPr>
          <w:rFonts w:ascii="Arial" w:cs="Arial" w:eastAsia="Arial" w:hAnsi="Arial"/>
          <w:b w:val="1"/>
          <w:sz w:val="22"/>
          <w:szCs w:val="22"/>
        </w:rPr>
      </w:pPr>
      <w:r w:rsidDel="00000000" w:rsidR="00000000" w:rsidRPr="00000000">
        <w:rPr>
          <w:rtl w:val="0"/>
        </w:rPr>
      </w:r>
    </w:p>
    <w:tbl>
      <w:tblPr>
        <w:tblStyle w:val="Table4"/>
        <w:tblW w:w="940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826"/>
        <w:gridCol w:w="7581"/>
        <w:tblGridChange w:id="0">
          <w:tblGrid>
            <w:gridCol w:w="1826"/>
            <w:gridCol w:w="7581"/>
          </w:tblGrid>
        </w:tblGridChange>
      </w:tblGrid>
      <w:tr>
        <w:trPr>
          <w:cantSplit w:val="0"/>
          <w:trHeight w:val="545" w:hRule="atLeast"/>
          <w:tblHeader w:val="0"/>
        </w:trPr>
        <w:tc>
          <w:tcPr>
            <w:tcBorders>
              <w:top w:color="6d9eeb" w:space="0" w:sz="12" w:val="single"/>
              <w:left w:color="6d9eeb" w:space="0" w:sz="12" w:val="single"/>
              <w:bottom w:color="93c47d" w:space="0" w:sz="12" w:val="single"/>
              <w:right w:color="93c47d" w:space="0" w:sz="8" w:val="single"/>
            </w:tcBorders>
            <w:shd w:fill="d9d9d9" w:val="clear"/>
            <w:tcMar>
              <w:top w:w="0.0" w:type="dxa"/>
              <w:left w:w="115.0" w:type="dxa"/>
              <w:bottom w:w="0.0" w:type="dxa"/>
              <w:right w:w="115.0" w:type="dxa"/>
            </w:tcMar>
          </w:tcPr>
          <w:p w:rsidR="00000000" w:rsidDel="00000000" w:rsidP="00000000" w:rsidRDefault="00000000" w:rsidRPr="00000000" w14:paraId="00000055">
            <w:pPr>
              <w:tabs>
                <w:tab w:val="center" w:leader="none" w:pos="4252"/>
                <w:tab w:val="right" w:leader="none" w:pos="8504"/>
              </w:tabs>
              <w:spacing w:before="58"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Objetivo do modelo do papel de trabalho</w:t>
            </w:r>
          </w:p>
        </w:tc>
        <w:tc>
          <w:tcPr>
            <w:tcBorders>
              <w:top w:color="6d9eeb" w:space="0" w:sz="12" w:val="single"/>
              <w:left w:color="93c47d" w:space="0" w:sz="8" w:val="single"/>
              <w:bottom w:color="93c47d" w:space="0" w:sz="12" w:val="single"/>
              <w:right w:color="6d9eeb" w:space="0" w:sz="12" w:val="single"/>
            </w:tcBorders>
            <w:tcMar>
              <w:top w:w="0.0" w:type="dxa"/>
              <w:left w:w="115.0" w:type="dxa"/>
              <w:bottom w:w="0.0" w:type="dxa"/>
              <w:right w:w="115.0" w:type="dxa"/>
            </w:tcMar>
          </w:tcPr>
          <w:p w:rsidR="00000000" w:rsidDel="00000000" w:rsidP="00000000" w:rsidRDefault="00000000" w:rsidRPr="00000000" w14:paraId="00000056">
            <w:pPr>
              <w:tabs>
                <w:tab w:val="center" w:leader="none" w:pos="4252"/>
                <w:tab w:val="right" w:leader="none" w:pos="8504"/>
              </w:tabs>
              <w:spacing w:before="58"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O objetivo de preencher este papel de trabalho é para determinar a materialidade ao planejar e executar uma auditoria, sendo esta uma parte importante da estratégia global de auditoria. A materialidade determinada na fase de planejamento pode ser revisada conforme a auditoria avança.</w:t>
            </w:r>
          </w:p>
          <w:p w:rsidR="00000000" w:rsidDel="00000000" w:rsidP="00000000" w:rsidRDefault="00000000" w:rsidRPr="00000000" w14:paraId="00000057">
            <w:pPr>
              <w:tabs>
                <w:tab w:val="center" w:leader="none" w:pos="4252"/>
                <w:tab w:val="right" w:leader="none" w:pos="8504"/>
              </w:tabs>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58">
            <w:pPr>
              <w:tabs>
                <w:tab w:val="center" w:leader="none" w:pos="4252"/>
                <w:tab w:val="right" w:leader="none" w:pos="8504"/>
              </w:tabs>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O objetivo da materialidade é identificar questões de auditoria, baseadas na avaliação de risco, e garantir que qualquer não-conformidade abaixo do nível de materialidade não irá afetar a conclusão e nem o propósito para qual os relatórios são usados pelos usuários.</w:t>
            </w:r>
          </w:p>
          <w:p w:rsidR="00000000" w:rsidDel="00000000" w:rsidP="00000000" w:rsidRDefault="00000000" w:rsidRPr="00000000" w14:paraId="00000059">
            <w:pPr>
              <w:tabs>
                <w:tab w:val="center" w:leader="none" w:pos="4252"/>
                <w:tab w:val="right" w:leader="none" w:pos="8504"/>
              </w:tabs>
              <w:spacing w:before="58" w:lineRule="auto"/>
              <w:rPr>
                <w:rFonts w:ascii="Arial" w:cs="Arial" w:eastAsia="Arial" w:hAnsi="Arial"/>
                <w:sz w:val="16"/>
                <w:szCs w:val="16"/>
              </w:rPr>
            </w:pPr>
            <w:r w:rsidDel="00000000" w:rsidR="00000000" w:rsidRPr="00000000">
              <w:rPr>
                <w:rtl w:val="0"/>
              </w:rPr>
            </w:r>
          </w:p>
        </w:tc>
      </w:tr>
      <w:tr>
        <w:trPr>
          <w:cantSplit w:val="0"/>
          <w:trHeight w:val="362" w:hRule="atLeast"/>
          <w:tblHeader w:val="0"/>
        </w:trPr>
        <w:tc>
          <w:tcPr>
            <w:tcBorders>
              <w:top w:color="93c47d" w:space="0" w:sz="12" w:val="single"/>
              <w:left w:color="6d9eeb" w:space="0" w:sz="12" w:val="single"/>
              <w:bottom w:color="93c47d" w:space="0" w:sz="8" w:val="single"/>
              <w:right w:color="93c47d" w:space="0" w:sz="8" w:val="single"/>
            </w:tcBorders>
            <w:shd w:fill="d9d9d9" w:val="clear"/>
            <w:tcMar>
              <w:top w:w="0.0" w:type="dxa"/>
              <w:left w:w="115.0" w:type="dxa"/>
              <w:bottom w:w="0.0" w:type="dxa"/>
              <w:right w:w="115.0" w:type="dxa"/>
            </w:tcMar>
          </w:tcPr>
          <w:p w:rsidR="00000000" w:rsidDel="00000000" w:rsidP="00000000" w:rsidRDefault="00000000" w:rsidRPr="00000000" w14:paraId="0000005A">
            <w:pPr>
              <w:tabs>
                <w:tab w:val="center" w:leader="none" w:pos="4252"/>
                <w:tab w:val="right" w:leader="none" w:pos="8504"/>
              </w:tabs>
              <w:spacing w:before="58"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Requisito NBASP</w:t>
            </w:r>
          </w:p>
        </w:tc>
        <w:tc>
          <w:tcPr>
            <w:tcBorders>
              <w:top w:color="93c47d" w:space="0" w:sz="12" w:val="single"/>
              <w:left w:color="93c47d" w:space="0" w:sz="8" w:val="single"/>
              <w:bottom w:color="93c47d" w:space="0" w:sz="8" w:val="single"/>
              <w:right w:color="6d9eeb" w:space="0" w:sz="12" w:val="single"/>
            </w:tcBorders>
            <w:tcMar>
              <w:top w:w="0.0" w:type="dxa"/>
              <w:left w:w="115.0" w:type="dxa"/>
              <w:bottom w:w="0.0" w:type="dxa"/>
              <w:right w:w="115.0" w:type="dxa"/>
            </w:tcMar>
          </w:tcPr>
          <w:p w:rsidR="00000000" w:rsidDel="00000000" w:rsidP="00000000" w:rsidRDefault="00000000" w:rsidRPr="00000000" w14:paraId="0000005B">
            <w:pPr>
              <w:tabs>
                <w:tab w:val="center" w:leader="none" w:pos="4252"/>
                <w:tab w:val="right" w:leader="none" w:pos="8504"/>
              </w:tabs>
              <w:spacing w:before="58" w:lineRule="auto"/>
              <w:rPr>
                <w:rFonts w:ascii="Arial" w:cs="Arial" w:eastAsia="Arial" w:hAnsi="Arial"/>
                <w:strike w:val="1"/>
                <w:sz w:val="16"/>
                <w:szCs w:val="16"/>
              </w:rPr>
            </w:pPr>
            <w:r w:rsidDel="00000000" w:rsidR="00000000" w:rsidRPr="00000000">
              <w:rPr>
                <w:rFonts w:ascii="Arial" w:cs="Arial" w:eastAsia="Arial" w:hAnsi="Arial"/>
                <w:sz w:val="18"/>
                <w:szCs w:val="18"/>
                <w:rtl w:val="0"/>
              </w:rPr>
              <w:t xml:space="preserve">NBASP 3000/73</w:t>
            </w:r>
            <w:r w:rsidDel="00000000" w:rsidR="00000000" w:rsidRPr="00000000">
              <w:rPr>
                <w:rtl w:val="0"/>
              </w:rPr>
            </w:r>
          </w:p>
        </w:tc>
      </w:tr>
      <w:tr>
        <w:trPr>
          <w:cantSplit w:val="0"/>
          <w:trHeight w:val="362" w:hRule="atLeast"/>
          <w:tblHeader w:val="0"/>
        </w:trPr>
        <w:tc>
          <w:tcPr>
            <w:tcBorders>
              <w:top w:color="93c47d" w:space="0" w:sz="12" w:val="single"/>
              <w:left w:color="6d9eeb" w:space="0" w:sz="12" w:val="single"/>
              <w:bottom w:color="93c47d" w:space="0" w:sz="8" w:val="single"/>
              <w:right w:color="93c47d" w:space="0" w:sz="8" w:val="single"/>
            </w:tcBorders>
            <w:shd w:fill="d9d9d9" w:val="clear"/>
            <w:tcMar>
              <w:top w:w="0.0" w:type="dxa"/>
              <w:left w:w="115.0" w:type="dxa"/>
              <w:bottom w:w="0.0" w:type="dxa"/>
              <w:right w:w="115.0" w:type="dxa"/>
            </w:tcMar>
          </w:tcPr>
          <w:p w:rsidR="00000000" w:rsidDel="00000000" w:rsidP="00000000" w:rsidRDefault="00000000" w:rsidRPr="00000000" w14:paraId="0000005C">
            <w:pPr>
              <w:tabs>
                <w:tab w:val="center" w:leader="none" w:pos="4252"/>
                <w:tab w:val="right" w:leader="none" w:pos="8504"/>
              </w:tabs>
              <w:spacing w:before="58"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Conceito de materialidade</w:t>
            </w:r>
          </w:p>
        </w:tc>
        <w:tc>
          <w:tcPr>
            <w:tcBorders>
              <w:top w:color="93c47d" w:space="0" w:sz="12" w:val="single"/>
              <w:left w:color="93c47d" w:space="0" w:sz="8" w:val="single"/>
              <w:bottom w:color="93c47d" w:space="0" w:sz="8" w:val="single"/>
              <w:right w:color="6d9eeb" w:space="0" w:sz="12" w:val="single"/>
            </w:tcBorders>
            <w:tcMar>
              <w:top w:w="0.0" w:type="dxa"/>
              <w:left w:w="115.0" w:type="dxa"/>
              <w:bottom w:w="0.0" w:type="dxa"/>
              <w:right w:w="115.0" w:type="dxa"/>
            </w:tcMar>
          </w:tcPr>
          <w:p w:rsidR="00000000" w:rsidDel="00000000" w:rsidP="00000000" w:rsidRDefault="00000000" w:rsidRPr="00000000" w14:paraId="0000005D">
            <w:pPr>
              <w:spacing w:after="120" w:before="240" w:line="276"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Em linhas gerais, o </w:t>
            </w:r>
            <w:r w:rsidDel="00000000" w:rsidR="00000000" w:rsidRPr="00000000">
              <w:rPr>
                <w:rFonts w:ascii="Arial" w:cs="Arial" w:eastAsia="Arial" w:hAnsi="Arial"/>
                <w:b w:val="1"/>
                <w:sz w:val="16"/>
                <w:szCs w:val="16"/>
                <w:rtl w:val="0"/>
              </w:rPr>
              <w:t xml:space="preserve">conceito de materialidade</w:t>
            </w:r>
            <w:r w:rsidDel="00000000" w:rsidR="00000000" w:rsidRPr="00000000">
              <w:rPr>
                <w:rFonts w:ascii="Arial" w:cs="Arial" w:eastAsia="Arial" w:hAnsi="Arial"/>
                <w:sz w:val="16"/>
                <w:szCs w:val="16"/>
                <w:rtl w:val="0"/>
              </w:rPr>
              <w:t xml:space="preserve"> reflete as medidas que o(s) usuário(s) da informação são mais suscetíveis a considerar importantes, incluindo dimensões relacionadas a </w:t>
            </w:r>
            <w:r w:rsidDel="00000000" w:rsidR="00000000" w:rsidRPr="00000000">
              <w:rPr>
                <w:rFonts w:ascii="Arial" w:cs="Arial" w:eastAsia="Arial" w:hAnsi="Arial"/>
                <w:i w:val="1"/>
                <w:sz w:val="16"/>
                <w:szCs w:val="16"/>
                <w:rtl w:val="0"/>
              </w:rPr>
              <w:t xml:space="preserve">valor</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i w:val="1"/>
                <w:sz w:val="16"/>
                <w:szCs w:val="16"/>
                <w:rtl w:val="0"/>
              </w:rPr>
              <w:t xml:space="preserve">natureza</w:t>
            </w:r>
            <w:r w:rsidDel="00000000" w:rsidR="00000000" w:rsidRPr="00000000">
              <w:rPr>
                <w:rFonts w:ascii="Arial" w:cs="Arial" w:eastAsia="Arial" w:hAnsi="Arial"/>
                <w:sz w:val="16"/>
                <w:szCs w:val="16"/>
                <w:rtl w:val="0"/>
              </w:rPr>
              <w:t xml:space="preserve"> e </w:t>
            </w:r>
            <w:r w:rsidDel="00000000" w:rsidR="00000000" w:rsidRPr="00000000">
              <w:rPr>
                <w:rFonts w:ascii="Arial" w:cs="Arial" w:eastAsia="Arial" w:hAnsi="Arial"/>
                <w:i w:val="1"/>
                <w:sz w:val="16"/>
                <w:szCs w:val="16"/>
                <w:rtl w:val="0"/>
              </w:rPr>
              <w:t xml:space="preserve">contexto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5E">
            <w:pPr>
              <w:numPr>
                <w:ilvl w:val="0"/>
                <w:numId w:val="1"/>
              </w:numPr>
              <w:spacing w:before="240" w:line="276" w:lineRule="auto"/>
              <w:ind w:left="720" w:hanging="360"/>
              <w:jc w:val="both"/>
              <w:rPr>
                <w:sz w:val="16"/>
                <w:szCs w:val="16"/>
              </w:rPr>
            </w:pPr>
            <w:r w:rsidDel="00000000" w:rsidR="00000000" w:rsidRPr="00000000">
              <w:rPr>
                <w:rFonts w:ascii="Arial" w:cs="Arial" w:eastAsia="Arial" w:hAnsi="Arial"/>
                <w:b w:val="1"/>
                <w:sz w:val="16"/>
                <w:szCs w:val="16"/>
                <w:rtl w:val="0"/>
              </w:rPr>
              <w:t xml:space="preserve">Materialidade por </w:t>
            </w:r>
            <w:r w:rsidDel="00000000" w:rsidR="00000000" w:rsidRPr="00000000">
              <w:rPr>
                <w:rFonts w:ascii="Arial" w:cs="Arial" w:eastAsia="Arial" w:hAnsi="Arial"/>
                <w:b w:val="1"/>
                <w:i w:val="1"/>
                <w:sz w:val="16"/>
                <w:szCs w:val="16"/>
                <w:rtl w:val="0"/>
              </w:rPr>
              <w:t xml:space="preserve">valor</w:t>
            </w:r>
            <w:r w:rsidDel="00000000" w:rsidR="00000000" w:rsidRPr="00000000">
              <w:rPr>
                <w:rFonts w:ascii="Arial" w:cs="Arial" w:eastAsia="Arial" w:hAnsi="Arial"/>
                <w:sz w:val="16"/>
                <w:szCs w:val="16"/>
                <w:rtl w:val="0"/>
              </w:rPr>
              <w:t xml:space="preserve"> está relacionada a fatores quantitativos, como o número de pessoas ou entidades afetadas pelo objeto específico ou os valores monetários envolvidos, bem como no uso indevido de recursos públicos. A materialidade quantitativa, utilizada principalmente em trabalhos de certificação, é determinada pela aplicação de um percentual a uma referência escolhida como ponto de partida. </w:t>
            </w:r>
            <w:r w:rsidDel="00000000" w:rsidR="00000000" w:rsidRPr="00000000">
              <w:rPr>
                <w:rtl w:val="0"/>
              </w:rPr>
            </w:r>
          </w:p>
          <w:p w:rsidR="00000000" w:rsidDel="00000000" w:rsidP="00000000" w:rsidRDefault="00000000" w:rsidRPr="00000000" w14:paraId="0000005F">
            <w:pPr>
              <w:spacing w:line="276" w:lineRule="auto"/>
              <w:ind w:left="720" w:firstLine="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60">
            <w:pPr>
              <w:numPr>
                <w:ilvl w:val="0"/>
                <w:numId w:val="1"/>
              </w:numPr>
              <w:spacing w:line="276" w:lineRule="auto"/>
              <w:ind w:left="720" w:hanging="360"/>
              <w:jc w:val="both"/>
              <w:rPr>
                <w:sz w:val="16"/>
                <w:szCs w:val="16"/>
              </w:rPr>
            </w:pPr>
            <w:r w:rsidDel="00000000" w:rsidR="00000000" w:rsidRPr="00000000">
              <w:rPr>
                <w:rFonts w:ascii="Arial" w:cs="Arial" w:eastAsia="Arial" w:hAnsi="Arial"/>
                <w:b w:val="1"/>
                <w:sz w:val="16"/>
                <w:szCs w:val="16"/>
                <w:rtl w:val="0"/>
              </w:rPr>
              <w:t xml:space="preserve">Materialidade por </w:t>
            </w:r>
            <w:r w:rsidDel="00000000" w:rsidR="00000000" w:rsidRPr="00000000">
              <w:rPr>
                <w:rFonts w:ascii="Arial" w:cs="Arial" w:eastAsia="Arial" w:hAnsi="Arial"/>
                <w:b w:val="1"/>
                <w:i w:val="1"/>
                <w:sz w:val="16"/>
                <w:szCs w:val="16"/>
                <w:rtl w:val="0"/>
              </w:rPr>
              <w:t xml:space="preserve">natureza</w:t>
            </w:r>
            <w:r w:rsidDel="00000000" w:rsidR="00000000" w:rsidRPr="00000000">
              <w:rPr>
                <w:rFonts w:ascii="Arial" w:cs="Arial" w:eastAsia="Arial" w:hAnsi="Arial"/>
                <w:sz w:val="16"/>
                <w:szCs w:val="16"/>
                <w:rtl w:val="0"/>
              </w:rPr>
              <w:t xml:space="preserve"> está relacionada com características inerentes e diz respeito a questões em que pode haver alto interesse político ou público, como por exemplo políticas públicas de interesse social ou questões previstas em legislação ou regulamentos. </w:t>
            </w:r>
            <w:r w:rsidDel="00000000" w:rsidR="00000000" w:rsidRPr="00000000">
              <w:rPr>
                <w:rtl w:val="0"/>
              </w:rPr>
            </w:r>
          </w:p>
          <w:p w:rsidR="00000000" w:rsidDel="00000000" w:rsidP="00000000" w:rsidRDefault="00000000" w:rsidRPr="00000000" w14:paraId="00000061">
            <w:pPr>
              <w:spacing w:line="276" w:lineRule="auto"/>
              <w:ind w:left="720" w:firstLine="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62">
            <w:pPr>
              <w:numPr>
                <w:ilvl w:val="0"/>
                <w:numId w:val="1"/>
              </w:numPr>
              <w:spacing w:after="120" w:line="276" w:lineRule="auto"/>
              <w:ind w:left="720" w:hanging="360"/>
              <w:jc w:val="both"/>
              <w:rPr>
                <w:sz w:val="16"/>
                <w:szCs w:val="16"/>
              </w:rPr>
            </w:pPr>
            <w:r w:rsidDel="00000000" w:rsidR="00000000" w:rsidRPr="00000000">
              <w:rPr>
                <w:rFonts w:ascii="Arial" w:cs="Arial" w:eastAsia="Arial" w:hAnsi="Arial"/>
                <w:b w:val="1"/>
                <w:sz w:val="16"/>
                <w:szCs w:val="16"/>
                <w:rtl w:val="0"/>
              </w:rPr>
              <w:t xml:space="preserve">Materialidade por </w:t>
            </w:r>
            <w:r w:rsidDel="00000000" w:rsidR="00000000" w:rsidRPr="00000000">
              <w:rPr>
                <w:rFonts w:ascii="Arial" w:cs="Arial" w:eastAsia="Arial" w:hAnsi="Arial"/>
                <w:b w:val="1"/>
                <w:i w:val="1"/>
                <w:sz w:val="16"/>
                <w:szCs w:val="16"/>
                <w:rtl w:val="0"/>
              </w:rPr>
              <w:t xml:space="preserve">contexto</w:t>
            </w:r>
            <w:r w:rsidDel="00000000" w:rsidR="00000000" w:rsidRPr="00000000">
              <w:rPr>
                <w:rFonts w:ascii="Arial" w:cs="Arial" w:eastAsia="Arial" w:hAnsi="Arial"/>
                <w:sz w:val="16"/>
                <w:szCs w:val="16"/>
                <w:rtl w:val="0"/>
              </w:rPr>
              <w:t xml:space="preserve"> diz respeito a itens que são materiais por suas circunstâncias, de modo que mudam a impressão dada aos usuários. Inclui casos em que um pequeno erro ou não conformidade pode ter um efeito significativo, por exemplo, classificação errada de despesas, mesmo que seu valor não seja material.</w:t>
            </w:r>
            <w:r w:rsidDel="00000000" w:rsidR="00000000" w:rsidRPr="00000000">
              <w:rPr>
                <w:rtl w:val="0"/>
              </w:rPr>
            </w:r>
          </w:p>
        </w:tc>
      </w:tr>
      <w:tr>
        <w:trPr>
          <w:cantSplit w:val="0"/>
          <w:trHeight w:val="693" w:hRule="atLeast"/>
          <w:tblHeader w:val="0"/>
        </w:trPr>
        <w:tc>
          <w:tcPr>
            <w:tcBorders>
              <w:top w:color="93c47d" w:space="0" w:sz="8" w:val="single"/>
              <w:left w:color="6d9eeb" w:space="0" w:sz="12" w:val="single"/>
              <w:bottom w:color="93c47d" w:space="0" w:sz="8" w:val="single"/>
              <w:right w:color="93c47d" w:space="0" w:sz="8" w:val="single"/>
            </w:tcBorders>
            <w:shd w:fill="d9d9d9" w:val="clear"/>
            <w:tcMar>
              <w:top w:w="0.0" w:type="dxa"/>
              <w:left w:w="115.0" w:type="dxa"/>
              <w:bottom w:w="0.0" w:type="dxa"/>
              <w:right w:w="115.0" w:type="dxa"/>
            </w:tcMar>
          </w:tcPr>
          <w:p w:rsidR="00000000" w:rsidDel="00000000" w:rsidP="00000000" w:rsidRDefault="00000000" w:rsidRPr="00000000" w14:paraId="00000063">
            <w:pPr>
              <w:tabs>
                <w:tab w:val="center" w:leader="none" w:pos="4252"/>
                <w:tab w:val="right" w:leader="none" w:pos="8504"/>
              </w:tabs>
              <w:spacing w:before="58" w:lineRule="auto"/>
              <w:rPr>
                <w:rFonts w:ascii="Arial" w:cs="Arial" w:eastAsia="Arial" w:hAnsi="Arial"/>
                <w:b w:val="1"/>
                <w:sz w:val="16"/>
                <w:szCs w:val="16"/>
              </w:rPr>
            </w:pPr>
            <w:r w:rsidDel="00000000" w:rsidR="00000000" w:rsidRPr="00000000">
              <w:rPr>
                <w:rtl w:val="0"/>
              </w:rPr>
            </w:r>
          </w:p>
        </w:tc>
        <w:tc>
          <w:tcPr>
            <w:tcBorders>
              <w:top w:color="93c47d" w:space="0" w:sz="8" w:val="single"/>
              <w:left w:color="93c47d" w:space="0" w:sz="8" w:val="single"/>
              <w:bottom w:color="93c47d" w:space="0" w:sz="8" w:val="single"/>
              <w:right w:color="6d9eeb" w:space="0" w:sz="12" w:val="single"/>
            </w:tcBorders>
            <w:tcMar>
              <w:top w:w="0.0" w:type="dxa"/>
              <w:left w:w="115.0" w:type="dxa"/>
              <w:bottom w:w="0.0" w:type="dxa"/>
              <w:right w:w="115.0" w:type="dxa"/>
            </w:tcMar>
          </w:tcPr>
          <w:p w:rsidR="00000000" w:rsidDel="00000000" w:rsidP="00000000" w:rsidRDefault="00000000" w:rsidRPr="00000000" w14:paraId="00000064">
            <w:pPr>
              <w:tabs>
                <w:tab w:val="center" w:leader="none" w:pos="4252"/>
                <w:tab w:val="right" w:leader="none" w:pos="8504"/>
              </w:tabs>
              <w:spacing w:before="58"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Gravando descrições relacionadas a determinação da materialidade:</w:t>
            </w:r>
          </w:p>
          <w:p w:rsidR="00000000" w:rsidDel="00000000" w:rsidP="00000000" w:rsidRDefault="00000000" w:rsidRPr="00000000" w14:paraId="00000065">
            <w:pPr>
              <w:numPr>
                <w:ilvl w:val="0"/>
                <w:numId w:val="2"/>
              </w:numPr>
              <w:tabs>
                <w:tab w:val="center" w:leader="none" w:pos="4252"/>
                <w:tab w:val="right" w:leader="none" w:pos="8504"/>
              </w:tabs>
              <w:spacing w:before="58" w:lineRule="auto"/>
              <w:ind w:left="720" w:hanging="36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Na linha 1, registre o valor da materialidade quantitativa </w:t>
            </w:r>
          </w:p>
          <w:p w:rsidR="00000000" w:rsidDel="00000000" w:rsidP="00000000" w:rsidRDefault="00000000" w:rsidRPr="00000000" w14:paraId="00000066">
            <w:pPr>
              <w:numPr>
                <w:ilvl w:val="0"/>
                <w:numId w:val="2"/>
              </w:numPr>
              <w:tabs>
                <w:tab w:val="center" w:leader="none" w:pos="4252"/>
                <w:tab w:val="right" w:leader="none" w:pos="8504"/>
              </w:tabs>
              <w:spacing w:before="58" w:lineRule="auto"/>
              <w:ind w:left="720" w:hanging="36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Na linha 2, registre a memória de cálculo que compõe o valor da materialidade quantitativa, como o valor é derivado e usado como referência. </w:t>
            </w:r>
          </w:p>
          <w:p w:rsidR="00000000" w:rsidDel="00000000" w:rsidP="00000000" w:rsidRDefault="00000000" w:rsidRPr="00000000" w14:paraId="00000067">
            <w:pPr>
              <w:tabs>
                <w:tab w:val="center" w:leader="none" w:pos="4252"/>
                <w:tab w:val="right" w:leader="none" w:pos="8504"/>
              </w:tabs>
              <w:spacing w:before="58"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Sobre a materialidade qualitativa:</w:t>
            </w:r>
          </w:p>
          <w:p w:rsidR="00000000" w:rsidDel="00000000" w:rsidP="00000000" w:rsidRDefault="00000000" w:rsidRPr="00000000" w14:paraId="00000068">
            <w:pPr>
              <w:numPr>
                <w:ilvl w:val="0"/>
                <w:numId w:val="3"/>
              </w:numPr>
              <w:tabs>
                <w:tab w:val="center" w:leader="none" w:pos="4252"/>
                <w:tab w:val="right" w:leader="none" w:pos="8504"/>
              </w:tabs>
              <w:spacing w:before="58" w:lineRule="auto"/>
              <w:ind w:left="720" w:hanging="36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Na linha 1, registrar a razão pela qual a materialidade por natureza precisa ser considerada durante a auditoria. Esse aspecto particular é crucial na auditoria do setor público.</w:t>
            </w:r>
          </w:p>
          <w:p w:rsidR="00000000" w:rsidDel="00000000" w:rsidP="00000000" w:rsidRDefault="00000000" w:rsidRPr="00000000" w14:paraId="00000069">
            <w:pPr>
              <w:numPr>
                <w:ilvl w:val="0"/>
                <w:numId w:val="3"/>
              </w:numPr>
              <w:tabs>
                <w:tab w:val="center" w:leader="none" w:pos="4252"/>
                <w:tab w:val="right" w:leader="none" w:pos="8504"/>
              </w:tabs>
              <w:ind w:left="720" w:hanging="36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Na linha 2, registrar a razão pela qual a materialidade do contexto precisa ser considerada durante a auditoria. Ocasionalmente, pode se tratar de uma não-conformidade menor, mas que pode ter um efeito significativo.</w:t>
            </w:r>
          </w:p>
          <w:p w:rsidR="00000000" w:rsidDel="00000000" w:rsidP="00000000" w:rsidRDefault="00000000" w:rsidRPr="00000000" w14:paraId="0000006A">
            <w:pPr>
              <w:tabs>
                <w:tab w:val="center" w:leader="none" w:pos="4252"/>
                <w:tab w:val="right" w:leader="none" w:pos="8504"/>
              </w:tabs>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6B">
            <w:pPr>
              <w:tabs>
                <w:tab w:val="center" w:leader="none" w:pos="4252"/>
                <w:tab w:val="right" w:leader="none" w:pos="8504"/>
              </w:tabs>
              <w:spacing w:before="58"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Ver páginas 45 e 46 do </w:t>
            </w:r>
            <w:hyperlink r:id="rId13">
              <w:r w:rsidDel="00000000" w:rsidR="00000000" w:rsidRPr="00000000">
                <w:rPr>
                  <w:rFonts w:ascii="Arial" w:cs="Arial" w:eastAsia="Arial" w:hAnsi="Arial"/>
                  <w:color w:val="0563c1"/>
                  <w:sz w:val="16"/>
                  <w:szCs w:val="16"/>
                  <w:u w:val="single"/>
                  <w:rtl w:val="0"/>
                </w:rPr>
                <w:t xml:space="preserve">Manual de Implementação das ISSAIs de Auditoria Operacional</w:t>
              </w:r>
            </w:hyperlink>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sz w:val="16"/>
                <w:szCs w:val="16"/>
                <w:rtl w:val="0"/>
              </w:rPr>
              <w:t xml:space="preserve">para maiores orientações sobre o conceito de materialidade para esse tipo de fiscalização.</w:t>
            </w:r>
            <w:r w:rsidDel="00000000" w:rsidR="00000000" w:rsidRPr="00000000">
              <w:rPr>
                <w:rtl w:val="0"/>
              </w:rPr>
            </w:r>
          </w:p>
        </w:tc>
      </w:tr>
      <w:tr>
        <w:trPr>
          <w:cantSplit w:val="0"/>
          <w:trHeight w:val="567" w:hRule="atLeast"/>
          <w:tblHeader w:val="0"/>
        </w:trPr>
        <w:tc>
          <w:tcPr>
            <w:tcBorders>
              <w:top w:color="93c47d" w:space="0" w:sz="8" w:val="single"/>
              <w:left w:color="6d9eeb" w:space="0" w:sz="12" w:val="single"/>
              <w:bottom w:color="6d9eeb" w:space="0" w:sz="12" w:val="single"/>
              <w:right w:color="93c47d" w:space="0" w:sz="8" w:val="single"/>
            </w:tcBorders>
            <w:shd w:fill="d9d9d9" w:val="clear"/>
            <w:tcMar>
              <w:top w:w="0.0" w:type="dxa"/>
              <w:left w:w="115.0" w:type="dxa"/>
              <w:bottom w:w="0.0" w:type="dxa"/>
              <w:right w:w="115.0" w:type="dxa"/>
            </w:tcMar>
          </w:tcPr>
          <w:p w:rsidR="00000000" w:rsidDel="00000000" w:rsidP="00000000" w:rsidRDefault="00000000" w:rsidRPr="00000000" w14:paraId="0000006C">
            <w:pPr>
              <w:tabs>
                <w:tab w:val="center" w:leader="none" w:pos="4252"/>
                <w:tab w:val="right" w:leader="none" w:pos="8504"/>
              </w:tabs>
              <w:spacing w:before="58"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Evidências de preparação e revisão </w:t>
            </w:r>
          </w:p>
        </w:tc>
        <w:tc>
          <w:tcPr>
            <w:tcBorders>
              <w:top w:color="93c47d" w:space="0" w:sz="8" w:val="single"/>
              <w:left w:color="93c47d" w:space="0" w:sz="8" w:val="single"/>
              <w:bottom w:color="6d9eeb" w:space="0" w:sz="12" w:val="single"/>
              <w:right w:color="6d9eeb" w:space="0" w:sz="12" w:val="single"/>
            </w:tcBorders>
            <w:tcMar>
              <w:top w:w="0.0" w:type="dxa"/>
              <w:left w:w="115.0" w:type="dxa"/>
              <w:bottom w:w="0.0" w:type="dxa"/>
              <w:right w:w="115.0" w:type="dxa"/>
            </w:tcMar>
          </w:tcPr>
          <w:p w:rsidR="00000000" w:rsidDel="00000000" w:rsidP="00000000" w:rsidRDefault="00000000" w:rsidRPr="00000000" w14:paraId="0000006D">
            <w:pPr>
              <w:tabs>
                <w:tab w:val="center" w:leader="none" w:pos="4252"/>
                <w:tab w:val="right" w:leader="none" w:pos="8504"/>
              </w:tabs>
              <w:spacing w:before="58"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O coordenador deve assinar este documento para garantir que ele foi revisado.</w:t>
            </w:r>
          </w:p>
        </w:tc>
      </w:tr>
    </w:tbl>
    <w:p w:rsidR="00000000" w:rsidDel="00000000" w:rsidP="00000000" w:rsidRDefault="00000000" w:rsidRPr="00000000" w14:paraId="0000006E">
      <w:pPr>
        <w:rPr>
          <w:rFonts w:ascii="Arial" w:cs="Arial" w:eastAsia="Arial" w:hAnsi="Arial"/>
          <w:b w:val="1"/>
          <w:sz w:val="22"/>
          <w:szCs w:val="22"/>
        </w:rPr>
      </w:pPr>
      <w:r w:rsidDel="00000000" w:rsidR="00000000" w:rsidRPr="00000000">
        <w:rPr>
          <w:rtl w:val="0"/>
        </w:rPr>
      </w:r>
    </w:p>
    <w:sectPr>
      <w:type w:val="nextPage"/>
      <w:pgSz w:h="16838" w:w="11906" w:orient="portrait"/>
      <w:pgMar w:bottom="1700.7874015748032" w:top="1700.7874015748032" w:left="1133.8582677165355" w:right="1133.8582677165355" w:header="709" w:footer="709"/>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Cambria"/>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9">
    <w:pPr>
      <w:widowControl w:val="1"/>
      <w:pBdr>
        <w:top w:color="bfbfbf" w:space="1" w:sz="4" w:val="single"/>
      </w:pBdr>
      <w:tabs>
        <w:tab w:val="center" w:leader="none" w:pos="4419"/>
        <w:tab w:val="right" w:leader="none" w:pos="8838"/>
      </w:tabs>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Av. Ubirajara Berocan Leite, nº 640 Setor Jaó – Goiânia - Goiás – CEP: 74.674-015                                Pág. </w:t>
    </w:r>
    <w:r w:rsidDel="00000000" w:rsidR="00000000" w:rsidRPr="00000000">
      <w:rPr>
        <w:rFonts w:ascii="Arial" w:cs="Arial" w:eastAsia="Arial" w:hAnsi="Arial"/>
        <w:b w:val="1"/>
        <w:sz w:val="16"/>
        <w:szCs w:val="16"/>
      </w:rPr>
      <w:fldChar w:fldCharType="begin"/>
      <w:instrText xml:space="preserve">PAGE</w:instrText>
      <w:fldChar w:fldCharType="separate"/>
      <w:fldChar w:fldCharType="end"/>
    </w:r>
    <w:r w:rsidDel="00000000" w:rsidR="00000000" w:rsidRPr="00000000">
      <w:rPr>
        <w:rFonts w:ascii="Arial" w:cs="Arial" w:eastAsia="Arial" w:hAnsi="Arial"/>
        <w:b w:val="1"/>
        <w:sz w:val="16"/>
        <w:szCs w:val="16"/>
        <w:rtl w:val="0"/>
      </w:rPr>
      <w:t xml:space="preserve">/</w:t>
    </w:r>
    <w:r w:rsidDel="00000000" w:rsidR="00000000" w:rsidRPr="00000000">
      <w:rPr>
        <w:rFonts w:ascii="Arial" w:cs="Arial" w:eastAsia="Arial" w:hAnsi="Arial"/>
        <w:b w:val="1"/>
        <w:sz w:val="16"/>
        <w:szCs w:val="16"/>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07A">
    <w:pPr>
      <w:widowControl w:val="1"/>
      <w:tabs>
        <w:tab w:val="center" w:leader="none" w:pos="4419"/>
        <w:tab w:val="right" w:leader="none" w:pos="8838"/>
      </w:tabs>
      <w:jc w:val="center"/>
      <w:rPr>
        <w:rFonts w:ascii="Arial" w:cs="Arial" w:eastAsia="Arial" w:hAnsi="Arial"/>
        <w:b w:val="1"/>
        <w:sz w:val="22"/>
        <w:szCs w:val="22"/>
      </w:rPr>
    </w:pPr>
    <w:r w:rsidDel="00000000" w:rsidR="00000000" w:rsidRPr="00000000">
      <w:rPr>
        <w:rFonts w:ascii="Arial" w:cs="Arial" w:eastAsia="Arial" w:hAnsi="Arial"/>
        <w:b w:val="1"/>
        <w:sz w:val="16"/>
        <w:szCs w:val="16"/>
        <w:rtl w:val="0"/>
      </w:rPr>
      <w:t xml:space="preserve">Telefone/PABX: (62) 3228-2000 – www.tce.go.gov.br</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0">
    <w:pPr>
      <w:widowControl w:val="1"/>
      <w:tabs>
        <w:tab w:val="center" w:leader="none" w:pos="4252"/>
        <w:tab w:val="right" w:leader="none" w:pos="8504"/>
      </w:tabs>
      <w:rPr>
        <w:rFonts w:ascii="Arial" w:cs="Arial" w:eastAsia="Arial" w:hAnsi="Arial"/>
        <w:sz w:val="22"/>
        <w:szCs w:val="22"/>
      </w:rPr>
    </w:pPr>
    <w:r w:rsidDel="00000000" w:rsidR="00000000" w:rsidRPr="00000000">
      <w:rPr>
        <w:rtl w:val="0"/>
      </w:rPr>
    </w:r>
  </w:p>
  <w:tbl>
    <w:tblPr>
      <w:tblStyle w:val="Table5"/>
      <w:tblW w:w="10780.0" w:type="dxa"/>
      <w:jc w:val="center"/>
      <w:tblBorders>
        <w:top w:color="000000" w:space="0" w:sz="0" w:val="nil"/>
        <w:left w:color="000000" w:space="0" w:sz="0" w:val="nil"/>
        <w:bottom w:color="000000" w:space="0" w:sz="4" w:val="single"/>
        <w:right w:color="000000" w:space="0" w:sz="0" w:val="nil"/>
        <w:insideH w:color="000000" w:space="0" w:sz="0" w:val="nil"/>
        <w:insideV w:color="000000" w:space="0" w:sz="0" w:val="nil"/>
      </w:tblBorders>
      <w:tblLayout w:type="fixed"/>
      <w:tblLook w:val="0400"/>
    </w:tblPr>
    <w:tblGrid>
      <w:gridCol w:w="2560"/>
      <w:gridCol w:w="8220"/>
      <w:tblGridChange w:id="0">
        <w:tblGrid>
          <w:gridCol w:w="2560"/>
          <w:gridCol w:w="8220"/>
        </w:tblGrid>
      </w:tblGridChange>
    </w:tblGrid>
    <w:tr>
      <w:trPr>
        <w:cantSplit w:val="0"/>
        <w:trHeight w:val="1418" w:hRule="atLeast"/>
        <w:tblHeader w:val="0"/>
      </w:trPr>
      <w:tc>
        <w:tcPr>
          <w:vAlign w:val="center"/>
        </w:tcPr>
        <w:p w:rsidR="00000000" w:rsidDel="00000000" w:rsidP="00000000" w:rsidRDefault="00000000" w:rsidRPr="00000000" w14:paraId="00000071">
          <w:pPr>
            <w:widowControl w:val="1"/>
            <w:tabs>
              <w:tab w:val="center" w:leader="none" w:pos="4252"/>
              <w:tab w:val="right" w:leader="none" w:pos="8504"/>
            </w:tabs>
            <w:jc w:val="center"/>
            <w:rPr>
              <w:rFonts w:ascii="Arial" w:cs="Arial" w:eastAsia="Arial" w:hAnsi="Arial"/>
              <w:sz w:val="22"/>
              <w:szCs w:val="22"/>
            </w:rPr>
          </w:pPr>
          <w:r w:rsidDel="00000000" w:rsidR="00000000" w:rsidRPr="00000000">
            <w:rPr>
              <w:sz w:val="22"/>
              <w:szCs w:val="22"/>
            </w:rPr>
            <w:drawing>
              <wp:inline distB="0" distT="0" distL="0" distR="0">
                <wp:extent cx="1295400" cy="704850"/>
                <wp:effectExtent b="0" l="0" r="0" t="0"/>
                <wp:docPr id="7"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295400" cy="704850"/>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072">
          <w:pPr>
            <w:widowControl w:val="1"/>
            <w:tabs>
              <w:tab w:val="center" w:leader="none" w:pos="4252"/>
              <w:tab w:val="right" w:leader="none" w:pos="8504"/>
            </w:tabs>
            <w:ind w:hanging="108"/>
            <w:jc w:val="center"/>
            <w:rPr>
              <w:rFonts w:ascii="Arial" w:cs="Arial" w:eastAsia="Arial" w:hAnsi="Arial"/>
              <w:b w:val="1"/>
              <w:sz w:val="26"/>
              <w:szCs w:val="26"/>
            </w:rPr>
          </w:pPr>
          <w:r w:rsidDel="00000000" w:rsidR="00000000" w:rsidRPr="00000000">
            <w:rPr>
              <w:rFonts w:ascii="Arial" w:cs="Arial" w:eastAsia="Arial" w:hAnsi="Arial"/>
              <w:b w:val="1"/>
              <w:sz w:val="26"/>
              <w:szCs w:val="26"/>
              <w:rtl w:val="0"/>
            </w:rPr>
            <w:t xml:space="preserve">Tribunal de Contas do Estado de Goiás</w:t>
          </w:r>
        </w:p>
        <w:p w:rsidR="00000000" w:rsidDel="00000000" w:rsidP="00000000" w:rsidRDefault="00000000" w:rsidRPr="00000000" w14:paraId="00000073">
          <w:pPr>
            <w:widowControl w:val="1"/>
            <w:tabs>
              <w:tab w:val="center" w:leader="none" w:pos="4252"/>
              <w:tab w:val="right" w:leader="none" w:pos="8504"/>
            </w:tabs>
            <w:ind w:hanging="108"/>
            <w:jc w:val="center"/>
            <w:rPr>
              <w:rFonts w:ascii="Arial" w:cs="Arial" w:eastAsia="Arial" w:hAnsi="Arial"/>
            </w:rPr>
          </w:pPr>
          <w:r w:rsidDel="00000000" w:rsidR="00000000" w:rsidRPr="00000000">
            <w:rPr>
              <w:rFonts w:ascii="Arial" w:cs="Arial" w:eastAsia="Arial" w:hAnsi="Arial"/>
              <w:rtl w:val="0"/>
            </w:rPr>
            <w:t xml:space="preserve">Secretaria de Controle Externo</w:t>
          </w:r>
        </w:p>
        <w:p w:rsidR="00000000" w:rsidDel="00000000" w:rsidP="00000000" w:rsidRDefault="00000000" w:rsidRPr="00000000" w14:paraId="00000074">
          <w:pPr>
            <w:widowControl w:val="1"/>
            <w:tabs>
              <w:tab w:val="center" w:leader="none" w:pos="4252"/>
              <w:tab w:val="right" w:leader="none" w:pos="8504"/>
            </w:tabs>
            <w:ind w:hanging="108"/>
            <w:jc w:val="center"/>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Gerência de Fiscalização de …</w:t>
          </w:r>
        </w:p>
        <w:p w:rsidR="00000000" w:rsidDel="00000000" w:rsidP="00000000" w:rsidRDefault="00000000" w:rsidRPr="00000000" w14:paraId="00000075">
          <w:pPr>
            <w:widowControl w:val="1"/>
            <w:tabs>
              <w:tab w:val="center" w:leader="none" w:pos="4252"/>
              <w:tab w:val="right" w:leader="none" w:pos="8504"/>
            </w:tabs>
            <w:ind w:hanging="108"/>
            <w:jc w:val="center"/>
            <w:rPr>
              <w:rFonts w:ascii="Arial" w:cs="Arial" w:eastAsia="Arial" w:hAnsi="Arial"/>
            </w:rPr>
          </w:pPr>
          <w:r w:rsidDel="00000000" w:rsidR="00000000" w:rsidRPr="00000000">
            <w:rPr>
              <w:rFonts w:ascii="Arial" w:cs="Arial" w:eastAsia="Arial" w:hAnsi="Arial"/>
              <w:color w:val="ff0000"/>
              <w:sz w:val="22"/>
              <w:szCs w:val="22"/>
              <w:rtl w:val="0"/>
            </w:rPr>
            <w:t xml:space="preserve">Serviço de Fiscalização de ..</w:t>
          </w:r>
          <w:r w:rsidDel="00000000" w:rsidR="00000000" w:rsidRPr="00000000">
            <w:rPr>
              <w:rtl w:val="0"/>
            </w:rPr>
          </w:r>
        </w:p>
      </w:tc>
    </w:tr>
  </w:tbl>
  <w:p w:rsidR="00000000" w:rsidDel="00000000" w:rsidP="00000000" w:rsidRDefault="00000000" w:rsidRPr="00000000" w14:paraId="00000076">
    <w:pPr>
      <w:widowControl w:val="1"/>
      <w:tabs>
        <w:tab w:val="center" w:leader="none" w:pos="4252"/>
        <w:tab w:val="right" w:leader="none" w:pos="8504"/>
      </w:tabs>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77">
    <w:pPr>
      <w:tabs>
        <w:tab w:val="center" w:leader="none" w:pos="4702"/>
        <w:tab w:val="right" w:leader="none" w:pos="9405"/>
      </w:tabs>
      <w:rPr>
        <w:rFonts w:ascii="Arial" w:cs="Arial" w:eastAsia="Arial" w:hAnsi="Arial"/>
        <w:b w:val="1"/>
        <w:sz w:val="22"/>
        <w:szCs w:val="22"/>
      </w:rPr>
    </w:pPr>
    <w:bookmarkStart w:colFirst="0" w:colLast="0" w:name="_heading=h.1fob9te" w:id="1"/>
    <w:bookmarkEnd w:id="1"/>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pt-BR"/>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ind w:left="720" w:hanging="360"/>
      <w:jc w:val="center"/>
    </w:pPr>
    <w:rPr>
      <w:b w:val="1"/>
      <w:sz w:val="36"/>
      <w:szCs w:val="36"/>
    </w:rPr>
  </w:style>
  <w:style w:type="paragraph" w:styleId="Heading2">
    <w:name w:val="heading 2"/>
    <w:basedOn w:val="Normal"/>
    <w:next w:val="Normal"/>
    <w:pPr>
      <w:keepNext w:val="1"/>
      <w:ind w:left="1440" w:hanging="360"/>
      <w:jc w:val="center"/>
    </w:pPr>
    <w:rPr>
      <w:b w:val="1"/>
      <w:sz w:val="20"/>
      <w:szCs w:val="20"/>
    </w:rPr>
  </w:style>
  <w:style w:type="paragraph" w:styleId="Heading3">
    <w:name w:val="heading 3"/>
    <w:basedOn w:val="Normal"/>
    <w:next w:val="Normal"/>
    <w:pPr>
      <w:keepNext w:val="1"/>
      <w:ind w:left="2160" w:hanging="180"/>
      <w:jc w:val="center"/>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ind w:left="720" w:hanging="360"/>
      <w:jc w:val="center"/>
    </w:pPr>
    <w:rPr>
      <w:b w:val="1"/>
      <w:sz w:val="36"/>
      <w:szCs w:val="36"/>
    </w:rPr>
  </w:style>
  <w:style w:type="paragraph" w:styleId="Heading2">
    <w:name w:val="heading 2"/>
    <w:basedOn w:val="Normal"/>
    <w:next w:val="Normal"/>
    <w:pPr>
      <w:keepNext w:val="1"/>
      <w:ind w:left="1440" w:hanging="360"/>
      <w:jc w:val="center"/>
    </w:pPr>
    <w:rPr>
      <w:b w:val="1"/>
      <w:sz w:val="20"/>
      <w:szCs w:val="20"/>
    </w:rPr>
  </w:style>
  <w:style w:type="paragraph" w:styleId="Heading3">
    <w:name w:val="heading 3"/>
    <w:basedOn w:val="Normal"/>
    <w:next w:val="Normal"/>
    <w:pPr>
      <w:keepNext w:val="1"/>
      <w:ind w:left="2160" w:hanging="180"/>
      <w:jc w:val="center"/>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paragraph" w:styleId="Ttulo1">
    <w:name w:val="heading 1"/>
    <w:basedOn w:val="Normal"/>
    <w:next w:val="Normal"/>
    <w:pPr>
      <w:keepNext w:val="1"/>
      <w:ind w:left="720" w:hanging="360"/>
      <w:jc w:val="center"/>
      <w:outlineLvl w:val="0"/>
    </w:pPr>
    <w:rPr>
      <w:b w:val="1"/>
      <w:sz w:val="36"/>
      <w:szCs w:val="36"/>
    </w:rPr>
  </w:style>
  <w:style w:type="paragraph" w:styleId="Ttulo2">
    <w:name w:val="heading 2"/>
    <w:basedOn w:val="Normal"/>
    <w:next w:val="Normal"/>
    <w:pPr>
      <w:keepNext w:val="1"/>
      <w:ind w:left="1440" w:hanging="360"/>
      <w:jc w:val="center"/>
      <w:outlineLvl w:val="1"/>
    </w:pPr>
    <w:rPr>
      <w:b w:val="1"/>
      <w:sz w:val="20"/>
      <w:szCs w:val="20"/>
    </w:rPr>
  </w:style>
  <w:style w:type="paragraph" w:styleId="Ttulo3">
    <w:name w:val="heading 3"/>
    <w:basedOn w:val="Normal"/>
    <w:next w:val="Normal"/>
    <w:pPr>
      <w:keepNext w:val="1"/>
      <w:ind w:left="2160" w:hanging="180"/>
      <w:jc w:val="center"/>
      <w:outlineLvl w:val="2"/>
    </w:pPr>
    <w:rPr>
      <w:b w:val="1"/>
      <w:sz w:val="28"/>
      <w:szCs w:val="28"/>
    </w:rPr>
  </w:style>
  <w:style w:type="paragraph" w:styleId="Ttulo4">
    <w:name w:val="heading 4"/>
    <w:basedOn w:val="Normal"/>
    <w:next w:val="Normal"/>
    <w:pPr>
      <w:keepNext w:val="1"/>
      <w:keepLines w:val="1"/>
      <w:spacing w:after="40" w:before="240"/>
      <w:outlineLvl w:val="3"/>
    </w:pPr>
    <w:rPr>
      <w:b w:val="1"/>
    </w:rPr>
  </w:style>
  <w:style w:type="paragraph" w:styleId="Ttulo5">
    <w:name w:val="heading 5"/>
    <w:basedOn w:val="Normal"/>
    <w:next w:val="Normal"/>
    <w:pPr>
      <w:keepNext w:val="1"/>
      <w:keepLines w:val="1"/>
      <w:spacing w:after="40" w:before="220"/>
      <w:outlineLvl w:val="4"/>
    </w:pPr>
    <w:rPr>
      <w:b w:val="1"/>
      <w:sz w:val="22"/>
      <w:szCs w:val="22"/>
    </w:rPr>
  </w:style>
  <w:style w:type="paragraph" w:styleId="Ttulo6">
    <w:name w:val="heading 6"/>
    <w:basedOn w:val="Normal"/>
    <w:next w:val="Normal"/>
    <w:pPr>
      <w:keepNext w:val="1"/>
      <w:keepLines w:val="1"/>
      <w:spacing w:after="40" w:before="200"/>
      <w:outlineLvl w:val="5"/>
    </w:pPr>
    <w:rPr>
      <w:b w:val="1"/>
      <w:sz w:val="20"/>
      <w:szCs w:val="20"/>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paragraph" w:styleId="Subttulo">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0"/>
    <w:tblPr>
      <w:tblStyleRowBandSize w:val="1"/>
      <w:tblStyleColBandSize w:val="1"/>
      <w:tblCellMar>
        <w:left w:w="115.0" w:type="dxa"/>
        <w:right w:w="115.0" w:type="dxa"/>
      </w:tblCellMar>
    </w:tblPr>
  </w:style>
  <w:style w:type="table" w:styleId="a0" w:customStyle="1">
    <w:basedOn w:val="TableNormal0"/>
    <w:tblPr>
      <w:tblStyleRowBandSize w:val="1"/>
      <w:tblStyleColBandSize w:val="1"/>
      <w:tblCellMar>
        <w:left w:w="115.0" w:type="dxa"/>
        <w:right w:w="115.0" w:type="dxa"/>
      </w:tblCellMar>
    </w:tblPr>
  </w:style>
  <w:style w:type="table" w:styleId="a1" w:customStyle="1">
    <w:basedOn w:val="TableNormal0"/>
    <w:tblPr>
      <w:tblStyleRowBandSize w:val="1"/>
      <w:tblStyleColBandSize w:val="1"/>
      <w:tblCellMar>
        <w:top w:w="100.0" w:type="dxa"/>
        <w:left w:w="100.0" w:type="dxa"/>
        <w:bottom w:w="100.0" w:type="dxa"/>
        <w:right w:w="100.0" w:type="dxa"/>
      </w:tblCellMar>
    </w:tblPr>
  </w:style>
  <w:style w:type="table" w:styleId="a2" w:customStyle="1">
    <w:basedOn w:val="TableNormal0"/>
    <w:tblPr>
      <w:tblStyleRowBandSize w:val="1"/>
      <w:tblStyleColBandSize w:val="1"/>
      <w:tblCellMar>
        <w:left w:w="115.0" w:type="dxa"/>
        <w:right w:w="115.0" w:type="dxa"/>
      </w:tblCellMar>
    </w:tblPr>
  </w:style>
  <w:style w:type="table" w:styleId="a3" w:customStyle="1">
    <w:basedOn w:val="TableNormal0"/>
    <w:tblPr>
      <w:tblStyleRowBandSize w:val="1"/>
      <w:tblStyleColBandSize w:val="1"/>
      <w:tblCellMar>
        <w:top w:w="100.0" w:type="dxa"/>
        <w:left w:w="100.0" w:type="dxa"/>
        <w:bottom w:w="100.0" w:type="dxa"/>
        <w:right w:w="100.0" w:type="dxa"/>
      </w:tblCellMar>
    </w:tblPr>
  </w:style>
  <w:style w:type="table" w:styleId="a4" w:customStyle="1">
    <w:basedOn w:val="TableNormal0"/>
    <w:tblPr>
      <w:tblStyleRowBandSize w:val="1"/>
      <w:tblStyleColBandSize w:val="1"/>
      <w:tblCellMar>
        <w:left w:w="115.0" w:type="dxa"/>
        <w:right w:w="115.0" w:type="dxa"/>
      </w:tblCellMar>
    </w:tblPr>
  </w:style>
  <w:style w:type="paragraph" w:styleId="Cabealho">
    <w:name w:val="header"/>
    <w:basedOn w:val="Normal"/>
    <w:link w:val="CabealhoChar"/>
    <w:uiPriority w:val="99"/>
    <w:unhideWhenUsed w:val="1"/>
    <w:rsid w:val="008A28A3"/>
    <w:pPr>
      <w:tabs>
        <w:tab w:val="center" w:pos="4252"/>
        <w:tab w:val="right" w:pos="8504"/>
      </w:tabs>
    </w:pPr>
  </w:style>
  <w:style w:type="character" w:styleId="CabealhoChar" w:customStyle="1">
    <w:name w:val="Cabeçalho Char"/>
    <w:basedOn w:val="Fontepargpadro"/>
    <w:link w:val="Cabealho"/>
    <w:uiPriority w:val="99"/>
    <w:rsid w:val="008A28A3"/>
  </w:style>
  <w:style w:type="paragraph" w:styleId="Rodap">
    <w:name w:val="footer"/>
    <w:basedOn w:val="Normal"/>
    <w:link w:val="RodapChar"/>
    <w:uiPriority w:val="99"/>
    <w:unhideWhenUsed w:val="1"/>
    <w:rsid w:val="008A28A3"/>
    <w:pPr>
      <w:tabs>
        <w:tab w:val="center" w:pos="4252"/>
        <w:tab w:val="right" w:pos="8504"/>
      </w:tabs>
    </w:pPr>
  </w:style>
  <w:style w:type="character" w:styleId="RodapChar" w:customStyle="1">
    <w:name w:val="Rodapé Char"/>
    <w:basedOn w:val="Fontepargpadro"/>
    <w:link w:val="Rodap"/>
    <w:uiPriority w:val="99"/>
    <w:rsid w:val="008A28A3"/>
  </w:style>
  <w:style w:type="table" w:styleId="Tabelacomgrade">
    <w:name w:val="Table Grid"/>
    <w:basedOn w:val="Tabelanormal"/>
    <w:uiPriority w:val="39"/>
    <w:rsid w:val="008A28A3"/>
    <w:pPr>
      <w:widowControl w:val="1"/>
    </w:pPr>
    <w:rPr>
      <w:rFonts w:asciiTheme="minorHAnsi" w:cstheme="minorBidi" w:eastAsiaTheme="minorHAnsi" w:hAnsiTheme="minorHAnsi"/>
      <w:sz w:val="22"/>
      <w:szCs w:val="22"/>
      <w:lang w:eastAsia="en-US"/>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a5" w:customStyle="1">
    <w:basedOn w:val="TableNormal0"/>
    <w:tblPr>
      <w:tblStyleRowBandSize w:val="1"/>
      <w:tblStyleColBandSize w:val="1"/>
      <w:tblCellMar>
        <w:left w:w="115.0" w:type="dxa"/>
        <w:right w:w="115.0" w:type="dxa"/>
      </w:tblCellMar>
    </w:tblPr>
  </w:style>
  <w:style w:type="table" w:styleId="a6" w:customStyle="1">
    <w:basedOn w:val="TableNormal0"/>
    <w:tblPr>
      <w:tblStyleRowBandSize w:val="1"/>
      <w:tblStyleColBandSize w:val="1"/>
      <w:tblCellMar>
        <w:left w:w="115.0" w:type="dxa"/>
        <w:right w:w="115.0" w:type="dxa"/>
      </w:tblCellMar>
    </w:tblPr>
  </w:style>
  <w:style w:type="table" w:styleId="a7" w:customStyle="1">
    <w:basedOn w:val="TableNormal0"/>
    <w:tblPr>
      <w:tblStyleRowBandSize w:val="1"/>
      <w:tblStyleColBandSize w:val="1"/>
      <w:tblCellMar>
        <w:left w:w="115.0" w:type="dxa"/>
        <w:right w:w="115.0" w:type="dxa"/>
      </w:tblCellMar>
    </w:tblPr>
  </w:style>
  <w:style w:type="table" w:styleId="a8" w:customStyle="1">
    <w:basedOn w:val="TableNormal0"/>
    <w:tblPr>
      <w:tblStyleRowBandSize w:val="1"/>
      <w:tblStyleColBandSize w:val="1"/>
      <w:tblCellMar>
        <w:left w:w="115.0" w:type="dxa"/>
        <w:right w:w="115.0" w:type="dxa"/>
      </w:tblCellMar>
    </w:tblPr>
  </w:style>
  <w:style w:type="table" w:styleId="a9" w:customStyle="1">
    <w:basedOn w:val="TableNormal0"/>
    <w:tblPr>
      <w:tblStyleRowBandSize w:val="1"/>
      <w:tblStyleColBandSize w:val="1"/>
      <w:tblCellMar>
        <w:left w:w="115.0" w:type="dxa"/>
        <w:right w:w="115.0" w:type="dxa"/>
      </w:tblCellMar>
    </w:tblPr>
  </w:style>
  <w:style w:type="table" w:styleId="aa" w:customStyle="1">
    <w:basedOn w:val="TableNormal0"/>
    <w:pPr>
      <w:widowControl w:val="1"/>
    </w:pPr>
    <w:rPr>
      <w:rFonts w:ascii="Cambria" w:cs="Cambria" w:eastAsia="Cambria" w:hAnsi="Cambria"/>
      <w:sz w:val="22"/>
      <w:szCs w:val="22"/>
    </w:rPr>
    <w:tblPr>
      <w:tblStyleRowBandSize w:val="1"/>
      <w:tblStyleColBandSize w:val="1"/>
      <w:tblCellMar>
        <w:left w:w="108.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pPr>
      <w:widowControl w:val="1"/>
    </w:pPr>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pPr>
      <w:widowControl w:val="1"/>
    </w:pPr>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 w:type="table" w:styleId="Table5">
    <w:basedOn w:val="TableNormal"/>
    <w:pPr>
      <w:spacing w:line="240" w:lineRule="auto"/>
    </w:pPr>
    <w:rPr>
      <w:rFonts w:ascii="Cambria" w:cs="Cambria" w:eastAsia="Cambria" w:hAnsi="Cambria"/>
    </w:rPr>
    <w:tblPr>
      <w:tblStyleRowBandSize w:val="1"/>
      <w:tblStyleColBandSize w:val="1"/>
      <w:tblCellMar>
        <w:top w:w="100.0" w:type="dxa"/>
        <w:left w:w="108.0" w:type="dxa"/>
        <w:bottom w:w="10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widowControl w:val="1"/>
      <w:spacing w:line="240" w:lineRule="auto"/>
    </w:pPr>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 w:type="table" w:styleId="Table2">
    <w:basedOn w:val="TableNormal"/>
    <w:pPr>
      <w:widowControl w:val="1"/>
      <w:spacing w:line="240" w:lineRule="auto"/>
    </w:pPr>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 w:type="table" w:styleId="Table3">
    <w:basedOn w:val="TableNormal"/>
    <w:pPr>
      <w:widowControl w:val="1"/>
      <w:spacing w:line="240" w:lineRule="auto"/>
    </w:pPr>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 w:type="table" w:styleId="Table4">
    <w:basedOn w:val="TableNormal"/>
    <w:pPr>
      <w:widowControl w:val="1"/>
      <w:spacing w:line="240" w:lineRule="auto"/>
    </w:pPr>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 w:type="table" w:styleId="Table5">
    <w:basedOn w:val="TableNormal"/>
    <w:pPr>
      <w:widowControl w:val="1"/>
      <w:spacing w:line="240" w:lineRule="auto"/>
    </w:pPr>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footer" Target="footer1.xml"/><Relationship Id="rId13" Type="http://schemas.openxmlformats.org/officeDocument/2006/relationships/hyperlink" Target="https://irbcontas.org.br/wp-content/uploads/2023/11/Manual-de-Implementacao-das-ISSAIs-Auditoria-Operacional.pdf" TargetMode="Externa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jdx4N53jWPUkT3UZ4/skIUgzMXw==">CgMxLjAyCGguZ2pkZ3hzMgloLjFmb2I5dGU4AHIhMWx5dmNpMlVsdXhIREJfQzNpV0tZVEc5WVF4LTA2VHF3</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2023-11-27T18:42:00Z</dcterms:created>
</cp:coreProperties>
</file>