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befor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CHECKLIST - ESTRATÉGIA DE AUDITORIA</w:t>
      </w:r>
    </w:p>
    <w:p w:rsidR="00000000" w:rsidDel="00000000" w:rsidP="00000000" w:rsidRDefault="00000000" w:rsidRPr="00000000" w14:paraId="00000004">
      <w:pPr>
        <w:widowControl w:val="0"/>
        <w:spacing w:after="0" w:before="0" w:lineRule="auto"/>
        <w:jc w:val="center"/>
        <w:rPr>
          <w:b w:val="1"/>
        </w:rPr>
      </w:pPr>
      <w:bookmarkStart w:colFirst="0" w:colLast="0" w:name="_heading=h.uxuld6im2pz8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</w:p>
        </w:tc>
      </w:tr>
    </w:tbl>
    <w:p w:rsidR="00000000" w:rsidDel="00000000" w:rsidP="00000000" w:rsidRDefault="00000000" w:rsidRPr="00000000" w14:paraId="00000027">
      <w:pPr>
        <w:widowControl w:val="0"/>
        <w:spacing w:before="0" w:lineRule="auto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20"/>
        <w:gridCol w:w="1950"/>
        <w:gridCol w:w="6705"/>
        <w:tblGridChange w:id="0">
          <w:tblGrid>
            <w:gridCol w:w="4920"/>
            <w:gridCol w:w="1950"/>
            <w:gridCol w:w="6705"/>
          </w:tblGrid>
        </w:tblGridChange>
      </w:tblGrid>
      <w:tr>
        <w:trPr>
          <w:cantSplit w:val="0"/>
          <w:trHeight w:val="28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924.9023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240" w:before="0"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 </w:t>
              <w:tab/>
              <w:t xml:space="preserve">A Equipe de Auditoria (ou Auditor) desenvolveu e documentou uma estratégia de auditoria?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before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89426087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 Auditoria foi desenvolvida e anexada no SGF.</w:t>
            </w:r>
          </w:p>
          <w:p w:rsidR="00000000" w:rsidDel="00000000" w:rsidP="00000000" w:rsidRDefault="00000000" w:rsidRPr="00000000" w14:paraId="0000002E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foi desenvolvida.</w:t>
            </w:r>
          </w:p>
          <w:p w:rsidR="00000000" w:rsidDel="00000000" w:rsidP="00000000" w:rsidRDefault="00000000" w:rsidRPr="00000000" w14:paraId="00000030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after="240" w:before="0"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A Estratégia de Auditoria descreve o objetivo, o objeto, o escopo, os critérios, os órgãos e entidades abrangidas e a época da auditoria.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193428242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 Auditoria descreve todos os requisitos exigidos, ou seja, o objetivo, o objeto, o escopo, os critérios, os órgãos e entidades abrangidas e a época da auditoria.</w:t>
            </w:r>
          </w:p>
          <w:p w:rsidR="00000000" w:rsidDel="00000000" w:rsidP="00000000" w:rsidRDefault="00000000" w:rsidRPr="00000000" w14:paraId="00000034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descreveu a maioria dos requisitos exigidos.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240" w:before="0"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 A Estratégia de Auditoria definiu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uma abordagem de auditoria orientada a resultado, problema ou sistema, ou uma combinação destas?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10608599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 Auditoria define expressamente a abordagem de auditoria orientada a resultado, problema ou sistema, ou uma combinação destas.</w:t>
            </w:r>
          </w:p>
          <w:p w:rsidR="00000000" w:rsidDel="00000000" w:rsidP="00000000" w:rsidRDefault="00000000" w:rsidRPr="00000000" w14:paraId="00000039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 Auditoria não definiu expressamente a abordagem de auditoria orientada a resultado, problema ou sistema, ou uma combinação destas. 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240" w:before="0" w:line="240" w:lineRule="auto"/>
              <w:ind w:left="0" w:firstLine="0"/>
              <w:jc w:val="both"/>
              <w:rPr>
                <w:rFonts w:ascii="Arial" w:cs="Arial" w:eastAsia="Arial" w:hAnsi="Arial"/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 A Estratégia de Auditoria definiu o nível de asseguração a ser fornecido?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154382933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 Auditoria define o nível de asseguração a ser fornecido, isto é, a equipe explicou como fornecerá asseguração aos usuários, demonstrando detalhes do procedimentos de elaboração dos critérios e de sua verificação (NBASP 3000/33).</w:t>
            </w:r>
          </w:p>
          <w:p w:rsidR="00000000" w:rsidDel="00000000" w:rsidP="00000000" w:rsidRDefault="00000000" w:rsidRPr="00000000" w14:paraId="0000003E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definiu expressamente o nível de asseguração e tampouco apresenta elementos para compreender qual é o nível de asseguração.</w:t>
            </w:r>
          </w:p>
          <w:p w:rsidR="00000000" w:rsidDel="00000000" w:rsidP="00000000" w:rsidRDefault="00000000" w:rsidRPr="00000000" w14:paraId="00000040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240" w:before="0"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 A Estratégia de Auditoria apresenta a avaliação da materialidade do objeto?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240" w:before="0" w:line="24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584542195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 Auditoria apresenta avaliação da materialidade do objeto, em ao menos uma das dimensões relacionadas a valor, natureza e contexto.</w:t>
            </w:r>
          </w:p>
          <w:p w:rsidR="00000000" w:rsidDel="00000000" w:rsidP="00000000" w:rsidRDefault="00000000" w:rsidRPr="00000000" w14:paraId="00000045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apresenta qualquer avaliação da materialidade do objeto.</w:t>
            </w:r>
          </w:p>
        </w:tc>
      </w:tr>
      <w:tr>
        <w:trPr>
          <w:cantSplit w:val="0"/>
          <w:trHeight w:val="1424.82421874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6. A Estratégia de Auditoria apresenta a composição da Equipe de Fiscalização e a alocação do trabalho, incluindo qualquer necessidade de especialistas? 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before="0"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alocação de trabalho realizada na Estratégia de Auditoria está alinhada com o Manual do SQF? Eventual indicação de necessidade de especialista está devidamente justificada na Estratégia de Auditoria?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111941266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 Auditoria apresenta a composição da Equipe de Fiscalização, incluindo qualquer necessidade de especialistas.</w:t>
            </w:r>
          </w:p>
          <w:p w:rsidR="00000000" w:rsidDel="00000000" w:rsidP="00000000" w:rsidRDefault="00000000" w:rsidRPr="00000000" w14:paraId="0000004B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apresenta a composição da Equipe de Fiscalização, incluindo qualquer necessidade de especialistas.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after="240" w:before="0"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 A Estratégia de Auditoria descreveu os mecanismos de controle de qualidade para a auditoria?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185547928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 Auditoria descreveu os mecanismos de controle de qualidade para a auditoria.</w:t>
            </w:r>
          </w:p>
          <w:p w:rsidR="00000000" w:rsidDel="00000000" w:rsidP="00000000" w:rsidRDefault="00000000" w:rsidRPr="00000000" w14:paraId="00000050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descreveu os mecanismos de controle de qualidade para a auditoria.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after="240" w:before="0"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8. A Estratégia de Auditoria descreveu os aspectos de comunicação com o auditado?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troleChecklist"/>
                <w:id w:val="-1999422457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shd w:fill="auto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 Auditoria descreveu os aspectos de comunicação com o auditado e/ou os responsáveis pela governança, bem como as responsabilidades para execução dessa tarefa, as datas previstas e os meios válidos e/ou oficiais.</w:t>
            </w:r>
          </w:p>
          <w:p w:rsidR="00000000" w:rsidDel="00000000" w:rsidP="00000000" w:rsidRDefault="00000000" w:rsidRPr="00000000" w14:paraId="00000055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before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descreveu aspectos de comunicação com o auditado e/ou os responsáveis pela governança.</w:t>
            </w:r>
          </w:p>
        </w:tc>
      </w:tr>
    </w:tbl>
    <w:p w:rsidR="00000000" w:rsidDel="00000000" w:rsidP="00000000" w:rsidRDefault="00000000" w:rsidRPr="00000000" w14:paraId="00000057">
      <w:pPr>
        <w:widowControl w:val="0"/>
        <w:spacing w:after="0" w:befor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PowerPlusWaterMarkObject2" style="position:absolute;width:546.75pt;height:156.2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Arial&amp;quot;;font-size:1pt;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5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5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5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5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0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PowerPlusWaterMarkObject1" style="position:absolute;width:546.75pt;height:156.2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Arial&amp;quot;;font-size:1pt;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tV85bfcScPth9X0+ZCPx3PJ7kg==">CgMxLjAyCGguZ2pkZ3hzMg5oLnV4dWxkNmltMnB6ODgAciExME1FLTFYUm1KMVZkSlJqN2dsUm5XUTdCRGlJSUlLWGE=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2023-11-27T18:47:00Z</dcterms:created>
</cp:coreProperties>
</file>